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08761AAD" w:rsidR="00242134" w:rsidRPr="006B373C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6B3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2F44A02F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46F455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2BC3680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027ABD72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A11C58">
        <w:rPr>
          <w:rFonts w:ascii="Times New Roman" w:eastAsia="Times New Roman" w:hAnsi="Times New Roman" w:cs="Times New Roman"/>
        </w:rPr>
        <w:t>орфанных</w:t>
      </w:r>
      <w:proofErr w:type="spellEnd"/>
      <w:r w:rsidRPr="00A11C58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C27D4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54CF5D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24804346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67A1AC2B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4056E25C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6036BD1C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2F01C546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71F9C9B2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6BBA582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37C918C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8C999F6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29244743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FCEA775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4CDE3BF6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6F4530">
        <w:rPr>
          <w:rFonts w:ascii="Times New Roman" w:eastAsia="Times New Roman" w:hAnsi="Times New Roman" w:cs="Times New Roman"/>
          <w:b/>
          <w:lang w:val="kk-KZ"/>
        </w:rPr>
        <w:t>0</w:t>
      </w:r>
      <w:r w:rsidR="003E4127">
        <w:rPr>
          <w:rFonts w:ascii="Times New Roman" w:eastAsia="Times New Roman" w:hAnsi="Times New Roman" w:cs="Times New Roman"/>
          <w:b/>
          <w:lang w:val="kk-KZ"/>
        </w:rPr>
        <w:t>9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r w:rsidR="006F4530">
        <w:rPr>
          <w:rFonts w:ascii="Times New Roman" w:eastAsia="Times New Roman" w:hAnsi="Times New Roman" w:cs="Times New Roman"/>
          <w:b/>
          <w:lang w:val="kk-KZ"/>
        </w:rPr>
        <w:t>марта</w:t>
      </w:r>
      <w:proofErr w:type="spellEnd"/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4CFDC093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6F4530">
        <w:rPr>
          <w:rFonts w:ascii="Times New Roman" w:eastAsia="Times New Roman" w:hAnsi="Times New Roman" w:cs="Times New Roman"/>
          <w:b/>
          <w:lang w:val="kk-KZ"/>
        </w:rPr>
        <w:t>0</w:t>
      </w:r>
      <w:r w:rsidR="003E4127">
        <w:rPr>
          <w:rFonts w:ascii="Times New Roman" w:eastAsia="Times New Roman" w:hAnsi="Times New Roman" w:cs="Times New Roman"/>
          <w:b/>
          <w:lang w:val="kk-KZ"/>
        </w:rPr>
        <w:t>9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proofErr w:type="spellStart"/>
      <w:r w:rsidR="006F4530">
        <w:rPr>
          <w:rFonts w:ascii="Times New Roman" w:eastAsia="Times New Roman" w:hAnsi="Times New Roman" w:cs="Times New Roman"/>
          <w:b/>
          <w:lang w:val="kk-KZ"/>
        </w:rPr>
        <w:t>марта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EA40E6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6C9BA1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13F41BE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6DF652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3395DA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ACA44C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5CBE5F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E6AB0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2E110A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5ED14F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0665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935A6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0B009E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31DCCA3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7E45EEE6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5BEAEEB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4E7AB" w14:textId="24A86975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BE27B47" w14:textId="6AA0417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0FC30A6" w14:textId="05E30F8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2D82D05" w14:textId="6A441DB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235BE7D" w14:textId="72D9B1A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4813141" w14:textId="0B4B5F83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59BD059" w14:textId="225D74F4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65C6843" w14:textId="55C44456" w:rsidR="00C10C41" w:rsidRP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proofErr w:type="spellStart"/>
      <w:r>
        <w:rPr>
          <w:rFonts w:ascii="Times New Roman" w:eastAsia="Times New Roman" w:hAnsi="Times New Roman" w:cs="Times New Roman"/>
          <w:b/>
          <w:lang w:val="kk-KZ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1 к </w:t>
      </w:r>
      <w:proofErr w:type="spellStart"/>
      <w:r>
        <w:rPr>
          <w:rFonts w:ascii="Times New Roman" w:eastAsia="Times New Roman" w:hAnsi="Times New Roman" w:cs="Times New Roman"/>
          <w:b/>
          <w:lang w:val="kk-KZ"/>
        </w:rPr>
        <w:t>объявлению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№</w:t>
      </w:r>
      <w:r w:rsidR="006F4530">
        <w:rPr>
          <w:rFonts w:ascii="Times New Roman" w:eastAsia="Times New Roman" w:hAnsi="Times New Roman" w:cs="Times New Roman"/>
          <w:b/>
          <w:lang w:val="kk-KZ"/>
        </w:rPr>
        <w:t>4</w:t>
      </w:r>
    </w:p>
    <w:p w14:paraId="1DF12F21" w14:textId="77777777" w:rsidR="006F4530" w:rsidRPr="006F4530" w:rsidRDefault="006F4530" w:rsidP="006F4530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8080"/>
        <w:gridCol w:w="708"/>
        <w:gridCol w:w="851"/>
        <w:gridCol w:w="1134"/>
        <w:gridCol w:w="1134"/>
      </w:tblGrid>
      <w:tr w:rsidR="006F4530" w:rsidRPr="006F4530" w14:paraId="799FD40F" w14:textId="77777777" w:rsidTr="00A42933">
        <w:trPr>
          <w:trHeight w:val="196"/>
        </w:trPr>
        <w:tc>
          <w:tcPr>
            <w:tcW w:w="567" w:type="dxa"/>
            <w:shd w:val="clear" w:color="000000" w:fill="FFFFFF"/>
          </w:tcPr>
          <w:p w14:paraId="48A9B9B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2" w:type="dxa"/>
            <w:gridSpan w:val="2"/>
            <w:shd w:val="clear" w:color="000000" w:fill="FFFFFF"/>
            <w:hideMark/>
          </w:tcPr>
          <w:p w14:paraId="32475CB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Наименование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товара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80" w:type="dxa"/>
            <w:shd w:val="clear" w:color="000000" w:fill="FFFFFF"/>
          </w:tcPr>
          <w:p w14:paraId="76BC457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Краткая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характеристика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14:paraId="2FC1215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1F2A163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2CA2707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Цена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6EC0E86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Сумма</w:t>
            </w:r>
          </w:p>
        </w:tc>
      </w:tr>
      <w:tr w:rsidR="006F4530" w:rsidRPr="006F4530" w14:paraId="15F41E16" w14:textId="77777777" w:rsidTr="003E4127">
        <w:trPr>
          <w:trHeight w:val="540"/>
        </w:trPr>
        <w:tc>
          <w:tcPr>
            <w:tcW w:w="567" w:type="dxa"/>
            <w:vAlign w:val="center"/>
            <w:hideMark/>
          </w:tcPr>
          <w:p w14:paraId="0397495A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14:paraId="5DE5A596" w14:textId="77777777" w:rsidR="006F4530" w:rsidRPr="006F4530" w:rsidRDefault="006F4530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4E0E458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(0) 90см, игла 36мм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таперпоинт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(гинекология)</w:t>
            </w:r>
          </w:p>
        </w:tc>
        <w:tc>
          <w:tcPr>
            <w:tcW w:w="8080" w:type="dxa"/>
            <w:shd w:val="clear" w:color="000000" w:fill="FFFFFF"/>
          </w:tcPr>
          <w:p w14:paraId="148F3F2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сохраняет 75% прочности на разрыв IN VIVO через 2 недели, 50% через 3 недели, 25% через 4 недели, срок полного рассасывания 56-70 дней.  Метрический размер 3,5, условный размер 0. Длина нити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имеет конструкцию, увеличивающую надежность ее фиксации в иглодержателе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насечек в месте захвата. Игла колющая, кончик иглы уплощен для лучшего разделения тканей, ½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окружности, 36 мм длиной. Диаметр тела иглы 0,8382 мм. 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76FB4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2D92EED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78E2A23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1 725,00</w:t>
            </w:r>
          </w:p>
        </w:tc>
        <w:tc>
          <w:tcPr>
            <w:tcW w:w="1134" w:type="dxa"/>
            <w:shd w:val="clear" w:color="000000" w:fill="FFFFFF"/>
          </w:tcPr>
          <w:p w14:paraId="2975596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51 750,00</w:t>
            </w:r>
          </w:p>
        </w:tc>
      </w:tr>
      <w:tr w:rsidR="006F4530" w:rsidRPr="006F4530" w14:paraId="33206DF4" w14:textId="77777777" w:rsidTr="00A42933">
        <w:trPr>
          <w:trHeight w:val="615"/>
        </w:trPr>
        <w:tc>
          <w:tcPr>
            <w:tcW w:w="567" w:type="dxa"/>
            <w:vAlign w:val="center"/>
            <w:hideMark/>
          </w:tcPr>
          <w:p w14:paraId="5132FF05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2C6E322B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1A875CD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(2/0) 90см, игла 36мм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хирургия)</w:t>
            </w:r>
          </w:p>
        </w:tc>
        <w:tc>
          <w:tcPr>
            <w:tcW w:w="8080" w:type="dxa"/>
            <w:shd w:val="clear" w:color="000000" w:fill="FFFFFF"/>
          </w:tcPr>
          <w:p w14:paraId="56004C1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3, условный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 2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36 мм длиной. Диаметр тела иглы 0,8382 мм.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73CE7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49C5A43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3E38E5A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1 581,00</w:t>
            </w:r>
          </w:p>
        </w:tc>
        <w:tc>
          <w:tcPr>
            <w:tcW w:w="1134" w:type="dxa"/>
            <w:shd w:val="clear" w:color="000000" w:fill="FFFFFF"/>
          </w:tcPr>
          <w:p w14:paraId="27CE5F0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47 430,00</w:t>
            </w:r>
          </w:p>
        </w:tc>
      </w:tr>
      <w:tr w:rsidR="006F4530" w:rsidRPr="006F4530" w14:paraId="26821941" w14:textId="77777777" w:rsidTr="00A42933">
        <w:trPr>
          <w:trHeight w:val="555"/>
        </w:trPr>
        <w:tc>
          <w:tcPr>
            <w:tcW w:w="567" w:type="dxa"/>
            <w:vAlign w:val="center"/>
            <w:hideMark/>
          </w:tcPr>
          <w:p w14:paraId="7E26FE62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14:paraId="38F9E026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6518F70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М4 (1) 70 см игла 40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09C9D6F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Нить окрашена в контрастный цвет для улучшения визуализации в ран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14:paraId="1F4841C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(триклозан) проявляет клинически доказанную антимикробную активность против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MRSA, MRSE, в период   96 часов после имплантации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нити, в концентрации, достаточной для подавления роста данных штаммов микроорганизмов. Действие триклозана в зоне подавления роста бактерий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S.aureus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дней.  Антисептик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 безопасное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 при операциях на мозговых оболочках, нить не теряет антисептических свойств  присутствие веществ содержащих анионную группу.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70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40 мм длиной. Диаметр тела иглы 1,143 мм.  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115CA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5F1BF37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4E59028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1 986,00</w:t>
            </w:r>
          </w:p>
        </w:tc>
        <w:tc>
          <w:tcPr>
            <w:tcW w:w="1134" w:type="dxa"/>
            <w:shd w:val="clear" w:color="000000" w:fill="FFFFFF"/>
          </w:tcPr>
          <w:p w14:paraId="47C332D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59 580,00</w:t>
            </w:r>
          </w:p>
        </w:tc>
      </w:tr>
      <w:tr w:rsidR="006F4530" w:rsidRPr="006F4530" w14:paraId="5FAC79B9" w14:textId="77777777" w:rsidTr="00A42933">
        <w:trPr>
          <w:trHeight w:val="660"/>
        </w:trPr>
        <w:tc>
          <w:tcPr>
            <w:tcW w:w="567" w:type="dxa"/>
            <w:hideMark/>
          </w:tcPr>
          <w:p w14:paraId="680FA076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14:paraId="3A8BC481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1EFE697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фиолетовый (1) 75см, игла 48мм №1 колющая 1/2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2120196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75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48 мм длиной. Диаметр тела иглы 1,016 мм. 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7C2A5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2171FB5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2CC506D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1 674,00</w:t>
            </w:r>
          </w:p>
        </w:tc>
        <w:tc>
          <w:tcPr>
            <w:tcW w:w="1134" w:type="dxa"/>
            <w:shd w:val="clear" w:color="000000" w:fill="FFFFFF"/>
          </w:tcPr>
          <w:p w14:paraId="1DA50B3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50 220,00</w:t>
            </w:r>
          </w:p>
        </w:tc>
      </w:tr>
      <w:tr w:rsidR="006F4530" w:rsidRPr="006F4530" w14:paraId="4DA33CE9" w14:textId="77777777" w:rsidTr="00A42933">
        <w:trPr>
          <w:trHeight w:val="540"/>
        </w:trPr>
        <w:tc>
          <w:tcPr>
            <w:tcW w:w="567" w:type="dxa"/>
            <w:hideMark/>
          </w:tcPr>
          <w:p w14:paraId="76C69D3F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14:paraId="3C8B816F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4EF1496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фиолетовый (1) 90см, игла 40мм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199ACD1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90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40 мм длиной. Диаметр тела иглы 1,016 мм. 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BAB3C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2F90FED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688D547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2 037,00</w:t>
            </w:r>
          </w:p>
        </w:tc>
        <w:tc>
          <w:tcPr>
            <w:tcW w:w="1134" w:type="dxa"/>
            <w:shd w:val="clear" w:color="000000" w:fill="FFFFFF"/>
          </w:tcPr>
          <w:p w14:paraId="10EF768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61 110,00</w:t>
            </w:r>
          </w:p>
        </w:tc>
      </w:tr>
      <w:tr w:rsidR="006F4530" w:rsidRPr="006F4530" w14:paraId="266442BC" w14:textId="77777777" w:rsidTr="00A42933">
        <w:trPr>
          <w:trHeight w:val="510"/>
        </w:trPr>
        <w:tc>
          <w:tcPr>
            <w:tcW w:w="567" w:type="dxa"/>
            <w:hideMark/>
          </w:tcPr>
          <w:p w14:paraId="0A649A01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14:paraId="5074C64B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2AE8125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фиолетовый (0) 90см, игла 50мм №1 колющая 1/2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2414B7C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3,5, условный размер 0. Длина нити 90 см. Игла изготовлена из коррозионностойкого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имеет конструкцию, увеличивающую надежность ее фиксации в иглодержателе за счет насечек в месте захвата. Игла колющая, усиленная, 1/2 окружности, 48 мм длиной. Диаметр тела иглы 1,016 мм.  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DAFFC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7193F8E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54C137F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1 806,00</w:t>
            </w:r>
          </w:p>
        </w:tc>
        <w:tc>
          <w:tcPr>
            <w:tcW w:w="1134" w:type="dxa"/>
            <w:shd w:val="clear" w:color="000000" w:fill="FFFFFF"/>
          </w:tcPr>
          <w:p w14:paraId="138D14D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54 180,00</w:t>
            </w:r>
          </w:p>
        </w:tc>
      </w:tr>
      <w:tr w:rsidR="006F4530" w:rsidRPr="006F4530" w14:paraId="5B9AEA74" w14:textId="77777777" w:rsidTr="00A42933">
        <w:trPr>
          <w:trHeight w:val="615"/>
        </w:trPr>
        <w:tc>
          <w:tcPr>
            <w:tcW w:w="567" w:type="dxa"/>
            <w:hideMark/>
          </w:tcPr>
          <w:p w14:paraId="6F60F199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14:paraId="75216979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1DD8409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фиолетовый (5/0) 45см, игла 17мм №1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хирургия+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дестк.хирург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0C31CD0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1, условный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 5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 Игла колющая, кончик иглы уплощен для лучшего разделения тканей,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17 мм длиной.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Диаметр тела иглы 0,4572 мм. 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932A8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41D47F7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102A2DF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1 705,00</w:t>
            </w:r>
          </w:p>
        </w:tc>
        <w:tc>
          <w:tcPr>
            <w:tcW w:w="1134" w:type="dxa"/>
            <w:shd w:val="clear" w:color="000000" w:fill="FFFFFF"/>
          </w:tcPr>
          <w:p w14:paraId="3D32A96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51 150,00</w:t>
            </w:r>
          </w:p>
        </w:tc>
      </w:tr>
      <w:tr w:rsidR="006F4530" w:rsidRPr="006F4530" w14:paraId="23344123" w14:textId="77777777" w:rsidTr="003E4127">
        <w:trPr>
          <w:trHeight w:val="142"/>
        </w:trPr>
        <w:tc>
          <w:tcPr>
            <w:tcW w:w="567" w:type="dxa"/>
            <w:hideMark/>
          </w:tcPr>
          <w:p w14:paraId="612149E4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hideMark/>
          </w:tcPr>
          <w:p w14:paraId="551CA34B" w14:textId="77777777" w:rsidR="006F4530" w:rsidRPr="006F4530" w:rsidRDefault="006F4530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Кетгут, полированный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6B14A9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длиной 75 см с кол. иглой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USP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3/0 (метрич.размер№3) </w:t>
            </w:r>
          </w:p>
        </w:tc>
        <w:tc>
          <w:tcPr>
            <w:tcW w:w="8080" w:type="dxa"/>
            <w:shd w:val="clear" w:color="000000" w:fill="FFFFFF"/>
          </w:tcPr>
          <w:p w14:paraId="1A8659B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длиной 75 см с кол. иглой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USP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3/0 (метрич.размер№3)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2DA94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05C4388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53B85E5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517,00</w:t>
            </w:r>
          </w:p>
        </w:tc>
        <w:tc>
          <w:tcPr>
            <w:tcW w:w="1134" w:type="dxa"/>
            <w:shd w:val="clear" w:color="000000" w:fill="FFFFFF"/>
          </w:tcPr>
          <w:p w14:paraId="63071EC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15 510,00</w:t>
            </w:r>
          </w:p>
        </w:tc>
      </w:tr>
      <w:tr w:rsidR="006F4530" w:rsidRPr="006F4530" w14:paraId="1D61715C" w14:textId="77777777" w:rsidTr="003E4127">
        <w:trPr>
          <w:trHeight w:val="263"/>
        </w:trPr>
        <w:tc>
          <w:tcPr>
            <w:tcW w:w="567" w:type="dxa"/>
            <w:hideMark/>
          </w:tcPr>
          <w:p w14:paraId="26B39FD4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FFFFFF"/>
            <w:hideMark/>
          </w:tcPr>
          <w:p w14:paraId="54073FC3" w14:textId="77777777" w:rsidR="006F4530" w:rsidRPr="006F4530" w:rsidRDefault="006F4530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Нейлон (Полиамид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Монофиламент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525FB1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рассасывающий длиной 75см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  иглой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USP 3/0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Метрич.размер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3) </w:t>
            </w:r>
          </w:p>
        </w:tc>
        <w:tc>
          <w:tcPr>
            <w:tcW w:w="8080" w:type="dxa"/>
            <w:shd w:val="clear" w:color="000000" w:fill="FFFFFF"/>
          </w:tcPr>
          <w:p w14:paraId="0D1DDC9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Полиамид Моно М2 (3/0) 75 см,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игла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режущая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16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мм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3/8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A3B09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1BBB869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0427765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1 261,00</w:t>
            </w:r>
          </w:p>
        </w:tc>
        <w:tc>
          <w:tcPr>
            <w:tcW w:w="1134" w:type="dxa"/>
            <w:shd w:val="clear" w:color="000000" w:fill="FFFFFF"/>
          </w:tcPr>
          <w:p w14:paraId="78F3005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37 830,00</w:t>
            </w:r>
          </w:p>
        </w:tc>
      </w:tr>
      <w:tr w:rsidR="006F4530" w:rsidRPr="006F4530" w14:paraId="20F97FA9" w14:textId="77777777" w:rsidTr="003E4127">
        <w:trPr>
          <w:trHeight w:val="90"/>
        </w:trPr>
        <w:tc>
          <w:tcPr>
            <w:tcW w:w="567" w:type="dxa"/>
            <w:hideMark/>
          </w:tcPr>
          <w:p w14:paraId="3E46A938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FFFFFF"/>
            <w:hideMark/>
          </w:tcPr>
          <w:p w14:paraId="37D6982B" w14:textId="77777777" w:rsidR="006F4530" w:rsidRPr="006F4530" w:rsidRDefault="006F4530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Этибонд</w:t>
            </w:r>
            <w:proofErr w:type="spellEnd"/>
          </w:p>
        </w:tc>
        <w:tc>
          <w:tcPr>
            <w:tcW w:w="1559" w:type="dxa"/>
            <w:shd w:val="clear" w:color="000000" w:fill="FFFFFF"/>
            <w:hideMark/>
          </w:tcPr>
          <w:p w14:paraId="3E9886C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зеленый (2/0) 90см, двойная игла 26мм №1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хирургия+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детск.хирург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0" w:type="dxa"/>
            <w:shd w:val="clear" w:color="000000" w:fill="FFFFFF"/>
          </w:tcPr>
          <w:p w14:paraId="7C7691D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нерассасывающаяся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полифиламентная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полибутилата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что обеспечивает снижение трения при проведении через плотные ткани.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 для улучшения визуализации в ране.  Метрический размер 3, условный размер 2/0.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90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Две иглы. Иглы изготовлены из коррозионностойкого высокопрочного сплава, обработаны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силиконом,  что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иглодержателе  за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 насечек в месте захвата.  Иглы колющие,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, 26 мм длиной. Диаметр тела иглы 0,6604 мм.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C615B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293BC5E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7524003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2 465,00</w:t>
            </w:r>
          </w:p>
        </w:tc>
        <w:tc>
          <w:tcPr>
            <w:tcW w:w="1134" w:type="dxa"/>
            <w:shd w:val="clear" w:color="000000" w:fill="FFFFFF"/>
          </w:tcPr>
          <w:p w14:paraId="01291AE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73 950,00</w:t>
            </w:r>
          </w:p>
        </w:tc>
      </w:tr>
      <w:tr w:rsidR="006F4530" w:rsidRPr="006F4530" w14:paraId="481CF85F" w14:textId="77777777" w:rsidTr="00A42933">
        <w:trPr>
          <w:trHeight w:val="90"/>
        </w:trPr>
        <w:tc>
          <w:tcPr>
            <w:tcW w:w="567" w:type="dxa"/>
            <w:shd w:val="clear" w:color="000000" w:fill="FFFFFF"/>
            <w:hideMark/>
          </w:tcPr>
          <w:p w14:paraId="1EA34047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000000" w:fill="FFFFFF"/>
            <w:hideMark/>
          </w:tcPr>
          <w:p w14:paraId="77E5A683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Сетка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31F96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, 30х30см сетка (хирургия)</w:t>
            </w:r>
          </w:p>
        </w:tc>
        <w:tc>
          <w:tcPr>
            <w:tcW w:w="8080" w:type="dxa"/>
            <w:shd w:val="clear" w:color="000000" w:fill="FFFFFF"/>
          </w:tcPr>
          <w:p w14:paraId="583A6FD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г/м2; предел прочности на разрыв - 14 кг/см2, размер пор - 1 мм. Квадратной формы. Размер 30х30 см. 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E1492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61BFF99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1CD6037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98 890,00</w:t>
            </w:r>
          </w:p>
        </w:tc>
        <w:tc>
          <w:tcPr>
            <w:tcW w:w="1134" w:type="dxa"/>
            <w:shd w:val="clear" w:color="000000" w:fill="FFFFFF"/>
          </w:tcPr>
          <w:p w14:paraId="594F091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98 890,00</w:t>
            </w:r>
          </w:p>
        </w:tc>
      </w:tr>
    </w:tbl>
    <w:p w14:paraId="1A712AC2" w14:textId="77777777" w:rsidR="006F4530" w:rsidRPr="006F4530" w:rsidRDefault="006F4530" w:rsidP="006F4530">
      <w:pPr>
        <w:spacing w:after="160" w:line="259" w:lineRule="auto"/>
        <w:rPr>
          <w:rFonts w:ascii="Times New Roman" w:hAnsi="Times New Roman" w:cs="Times New Roman"/>
          <w:lang w:eastAsia="en-US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095"/>
        <w:gridCol w:w="2552"/>
        <w:gridCol w:w="708"/>
        <w:gridCol w:w="1134"/>
        <w:gridCol w:w="1418"/>
      </w:tblGrid>
      <w:tr w:rsidR="006F4530" w:rsidRPr="006F4530" w14:paraId="73160B02" w14:textId="77777777" w:rsidTr="00A42933">
        <w:trPr>
          <w:trHeight w:val="90"/>
        </w:trPr>
        <w:tc>
          <w:tcPr>
            <w:tcW w:w="567" w:type="dxa"/>
            <w:vAlign w:val="center"/>
            <w:hideMark/>
          </w:tcPr>
          <w:p w14:paraId="02820A9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1DC88C9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6095" w:type="dxa"/>
            <w:shd w:val="clear" w:color="auto" w:fill="FFFFFF"/>
            <w:hideMark/>
          </w:tcPr>
          <w:p w14:paraId="147869A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13х18 (2,34 м²)</w:t>
            </w:r>
          </w:p>
        </w:tc>
        <w:tc>
          <w:tcPr>
            <w:tcW w:w="2552" w:type="dxa"/>
            <w:shd w:val="clear" w:color="auto" w:fill="FFFFFF"/>
            <w:hideMark/>
          </w:tcPr>
          <w:p w14:paraId="6A79117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(в упаковке 100 листов) </w:t>
            </w:r>
          </w:p>
        </w:tc>
        <w:tc>
          <w:tcPr>
            <w:tcW w:w="708" w:type="dxa"/>
            <w:shd w:val="clear" w:color="auto" w:fill="FFFFFF"/>
            <w:hideMark/>
          </w:tcPr>
          <w:p w14:paraId="419FE31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2DD8A40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5 800,00</w:t>
            </w:r>
          </w:p>
        </w:tc>
        <w:tc>
          <w:tcPr>
            <w:tcW w:w="1418" w:type="dxa"/>
            <w:shd w:val="clear" w:color="auto" w:fill="FFFFFF"/>
          </w:tcPr>
          <w:p w14:paraId="6B1A82B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2 900,00</w:t>
            </w:r>
          </w:p>
        </w:tc>
      </w:tr>
      <w:tr w:rsidR="006F4530" w:rsidRPr="006F4530" w14:paraId="37F519FD" w14:textId="77777777" w:rsidTr="00A42933">
        <w:trPr>
          <w:trHeight w:val="90"/>
        </w:trPr>
        <w:tc>
          <w:tcPr>
            <w:tcW w:w="567" w:type="dxa"/>
            <w:vAlign w:val="center"/>
            <w:hideMark/>
          </w:tcPr>
          <w:p w14:paraId="2FB14C3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shd w:val="clear" w:color="auto" w:fill="FFFFFF"/>
            <w:hideMark/>
          </w:tcPr>
          <w:p w14:paraId="3FC63AB1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6095" w:type="dxa"/>
            <w:shd w:val="clear" w:color="auto" w:fill="FFFFFF"/>
            <w:hideMark/>
          </w:tcPr>
          <w:p w14:paraId="32C6682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18х24 (4,32 м²)</w:t>
            </w:r>
          </w:p>
        </w:tc>
        <w:tc>
          <w:tcPr>
            <w:tcW w:w="2552" w:type="dxa"/>
            <w:shd w:val="clear" w:color="auto" w:fill="FFFFFF"/>
            <w:hideMark/>
          </w:tcPr>
          <w:p w14:paraId="009751F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(в упаковке 100 листов) </w:t>
            </w:r>
          </w:p>
        </w:tc>
        <w:tc>
          <w:tcPr>
            <w:tcW w:w="708" w:type="dxa"/>
            <w:shd w:val="clear" w:color="auto" w:fill="FFFFFF"/>
            <w:hideMark/>
          </w:tcPr>
          <w:p w14:paraId="482FBBA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A3FEB5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10 900,00</w:t>
            </w:r>
          </w:p>
        </w:tc>
        <w:tc>
          <w:tcPr>
            <w:tcW w:w="1418" w:type="dxa"/>
            <w:shd w:val="clear" w:color="auto" w:fill="FFFFFF"/>
          </w:tcPr>
          <w:p w14:paraId="3134217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109 000,00</w:t>
            </w:r>
          </w:p>
        </w:tc>
      </w:tr>
      <w:tr w:rsidR="006F4530" w:rsidRPr="006F4530" w14:paraId="1AFB6F0D" w14:textId="77777777" w:rsidTr="00A42933">
        <w:trPr>
          <w:trHeight w:val="90"/>
        </w:trPr>
        <w:tc>
          <w:tcPr>
            <w:tcW w:w="567" w:type="dxa"/>
            <w:vAlign w:val="center"/>
            <w:hideMark/>
          </w:tcPr>
          <w:p w14:paraId="50F2E27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shd w:val="clear" w:color="auto" w:fill="FFFFFF"/>
            <w:hideMark/>
          </w:tcPr>
          <w:p w14:paraId="10E7BE9D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6095" w:type="dxa"/>
            <w:shd w:val="clear" w:color="auto" w:fill="FFFFFF"/>
            <w:hideMark/>
          </w:tcPr>
          <w:p w14:paraId="2588416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24х30 (7,2м²)</w:t>
            </w:r>
          </w:p>
        </w:tc>
        <w:tc>
          <w:tcPr>
            <w:tcW w:w="2552" w:type="dxa"/>
            <w:shd w:val="clear" w:color="auto" w:fill="FFFFFF"/>
            <w:hideMark/>
          </w:tcPr>
          <w:p w14:paraId="774231B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(в упаковке 100 листов) </w:t>
            </w:r>
          </w:p>
        </w:tc>
        <w:tc>
          <w:tcPr>
            <w:tcW w:w="708" w:type="dxa"/>
            <w:shd w:val="clear" w:color="auto" w:fill="FFFFFF"/>
            <w:hideMark/>
          </w:tcPr>
          <w:p w14:paraId="4179E16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7BC998A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18 300,00</w:t>
            </w:r>
          </w:p>
        </w:tc>
        <w:tc>
          <w:tcPr>
            <w:tcW w:w="1418" w:type="dxa"/>
            <w:shd w:val="clear" w:color="auto" w:fill="FFFFFF"/>
          </w:tcPr>
          <w:p w14:paraId="7FF2A6F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549 000,00</w:t>
            </w:r>
          </w:p>
        </w:tc>
      </w:tr>
      <w:tr w:rsidR="006F4530" w:rsidRPr="006F4530" w14:paraId="59348CD4" w14:textId="77777777" w:rsidTr="00A42933">
        <w:trPr>
          <w:trHeight w:val="90"/>
        </w:trPr>
        <w:tc>
          <w:tcPr>
            <w:tcW w:w="567" w:type="dxa"/>
            <w:vAlign w:val="center"/>
            <w:hideMark/>
          </w:tcPr>
          <w:p w14:paraId="3AE0172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  <w:shd w:val="clear" w:color="auto" w:fill="FFFFFF"/>
            <w:hideMark/>
          </w:tcPr>
          <w:p w14:paraId="41E5B778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6095" w:type="dxa"/>
            <w:shd w:val="clear" w:color="auto" w:fill="FFFFFF"/>
            <w:hideMark/>
          </w:tcPr>
          <w:p w14:paraId="24BC512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30х40 (12м²)</w:t>
            </w:r>
          </w:p>
        </w:tc>
        <w:tc>
          <w:tcPr>
            <w:tcW w:w="2552" w:type="dxa"/>
            <w:shd w:val="clear" w:color="auto" w:fill="FFFFFF"/>
            <w:hideMark/>
          </w:tcPr>
          <w:p w14:paraId="678342B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(в упаковке 100 листов) </w:t>
            </w:r>
          </w:p>
        </w:tc>
        <w:tc>
          <w:tcPr>
            <w:tcW w:w="708" w:type="dxa"/>
            <w:shd w:val="clear" w:color="auto" w:fill="FFFFFF"/>
            <w:hideMark/>
          </w:tcPr>
          <w:p w14:paraId="31A2C9E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D29A7C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30 500,00</w:t>
            </w:r>
          </w:p>
        </w:tc>
        <w:tc>
          <w:tcPr>
            <w:tcW w:w="1418" w:type="dxa"/>
            <w:shd w:val="clear" w:color="auto" w:fill="FFFFFF"/>
          </w:tcPr>
          <w:p w14:paraId="52170C0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915 000,00</w:t>
            </w:r>
          </w:p>
        </w:tc>
      </w:tr>
      <w:tr w:rsidR="006F4530" w:rsidRPr="006F4530" w14:paraId="535B33EB" w14:textId="77777777" w:rsidTr="00A42933">
        <w:trPr>
          <w:trHeight w:val="295"/>
        </w:trPr>
        <w:tc>
          <w:tcPr>
            <w:tcW w:w="567" w:type="dxa"/>
            <w:shd w:val="clear" w:color="auto" w:fill="FFFFFF"/>
            <w:vAlign w:val="center"/>
            <w:hideMark/>
          </w:tcPr>
          <w:p w14:paraId="500B94A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  <w:shd w:val="clear" w:color="auto" w:fill="FFFFFF"/>
            <w:hideMark/>
          </w:tcPr>
          <w:p w14:paraId="6751C8BE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Пленка для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6095" w:type="dxa"/>
            <w:shd w:val="clear" w:color="auto" w:fill="FFFFFF"/>
            <w:hideMark/>
          </w:tcPr>
          <w:p w14:paraId="478EFC36" w14:textId="3E8E788C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ортохроматическая пленка с односторонним поливом для рутинных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исследований (100листов в упаковке) 18*24</w:t>
            </w:r>
          </w:p>
        </w:tc>
        <w:tc>
          <w:tcPr>
            <w:tcW w:w="2552" w:type="dxa"/>
            <w:shd w:val="clear" w:color="auto" w:fill="FFFFFF"/>
            <w:hideMark/>
          </w:tcPr>
          <w:p w14:paraId="536E7FA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(в упаковке 100 листов) </w:t>
            </w:r>
          </w:p>
        </w:tc>
        <w:tc>
          <w:tcPr>
            <w:tcW w:w="708" w:type="dxa"/>
            <w:shd w:val="clear" w:color="auto" w:fill="FFFFFF"/>
            <w:hideMark/>
          </w:tcPr>
          <w:p w14:paraId="51231F6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4B796D9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30 900,00</w:t>
            </w:r>
          </w:p>
        </w:tc>
        <w:tc>
          <w:tcPr>
            <w:tcW w:w="1418" w:type="dxa"/>
            <w:shd w:val="clear" w:color="auto" w:fill="FFFFFF"/>
          </w:tcPr>
          <w:p w14:paraId="0C6D2CC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1 545 000,00</w:t>
            </w:r>
          </w:p>
        </w:tc>
      </w:tr>
      <w:tr w:rsidR="006F4530" w:rsidRPr="006F4530" w14:paraId="3EFA2E81" w14:textId="77777777" w:rsidTr="00A42933">
        <w:trPr>
          <w:trHeight w:val="715"/>
        </w:trPr>
        <w:tc>
          <w:tcPr>
            <w:tcW w:w="567" w:type="dxa"/>
            <w:shd w:val="clear" w:color="auto" w:fill="FFFFFF"/>
            <w:vAlign w:val="center"/>
            <w:hideMark/>
          </w:tcPr>
          <w:p w14:paraId="6CE39A9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  <w:shd w:val="clear" w:color="auto" w:fill="FFFFFF"/>
            <w:hideMark/>
          </w:tcPr>
          <w:p w14:paraId="72AF1D26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проявления рентгенографической пленки из жидких концентратов</w:t>
            </w:r>
          </w:p>
        </w:tc>
        <w:tc>
          <w:tcPr>
            <w:tcW w:w="6095" w:type="dxa"/>
            <w:shd w:val="clear" w:color="auto" w:fill="FFFFFF"/>
            <w:hideMark/>
          </w:tcPr>
          <w:p w14:paraId="42FE29E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жидкий концентрат для машинной обработки проявитель на 20 литров раствора</w:t>
            </w:r>
          </w:p>
        </w:tc>
        <w:tc>
          <w:tcPr>
            <w:tcW w:w="2552" w:type="dxa"/>
            <w:shd w:val="clear" w:color="auto" w:fill="FFFFFF"/>
            <w:hideMark/>
          </w:tcPr>
          <w:p w14:paraId="2B9B2AF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FFFFFF"/>
            <w:hideMark/>
          </w:tcPr>
          <w:p w14:paraId="7ACBEC3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7C32EE4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21 700,00</w:t>
            </w:r>
          </w:p>
        </w:tc>
        <w:tc>
          <w:tcPr>
            <w:tcW w:w="1418" w:type="dxa"/>
            <w:shd w:val="clear" w:color="auto" w:fill="FFFFFF"/>
          </w:tcPr>
          <w:p w14:paraId="48ECC97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325 500,00</w:t>
            </w:r>
          </w:p>
        </w:tc>
      </w:tr>
      <w:tr w:rsidR="006F4530" w:rsidRPr="006F4530" w14:paraId="0585459A" w14:textId="77777777" w:rsidTr="00A42933">
        <w:trPr>
          <w:trHeight w:val="541"/>
        </w:trPr>
        <w:tc>
          <w:tcPr>
            <w:tcW w:w="567" w:type="dxa"/>
            <w:shd w:val="clear" w:color="auto" w:fill="FFFFFF"/>
            <w:vAlign w:val="center"/>
            <w:hideMark/>
          </w:tcPr>
          <w:p w14:paraId="1ED6D4E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2B21A5A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проявления рентгенографической пленки из сухих и концентратов</w:t>
            </w:r>
          </w:p>
        </w:tc>
        <w:tc>
          <w:tcPr>
            <w:tcW w:w="6095" w:type="dxa"/>
            <w:shd w:val="clear" w:color="auto" w:fill="FFFFFF"/>
            <w:hideMark/>
          </w:tcPr>
          <w:p w14:paraId="75A9BB4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жидкий концентрат для машинной обработки фиксаж на 20 литров раствора</w:t>
            </w:r>
          </w:p>
        </w:tc>
        <w:tc>
          <w:tcPr>
            <w:tcW w:w="2552" w:type="dxa"/>
            <w:shd w:val="clear" w:color="auto" w:fill="FFFFFF"/>
            <w:hideMark/>
          </w:tcPr>
          <w:p w14:paraId="0B82385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FFFFFF"/>
            <w:hideMark/>
          </w:tcPr>
          <w:p w14:paraId="1DB7EED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34539A4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21 700,00</w:t>
            </w:r>
          </w:p>
        </w:tc>
        <w:tc>
          <w:tcPr>
            <w:tcW w:w="1418" w:type="dxa"/>
            <w:shd w:val="clear" w:color="auto" w:fill="FFFFFF"/>
          </w:tcPr>
          <w:p w14:paraId="0651A721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325 500,00</w:t>
            </w:r>
          </w:p>
        </w:tc>
      </w:tr>
      <w:tr w:rsidR="006F4530" w:rsidRPr="006F4530" w14:paraId="5BB549BA" w14:textId="77777777" w:rsidTr="00A42933">
        <w:trPr>
          <w:trHeight w:val="214"/>
        </w:trPr>
        <w:tc>
          <w:tcPr>
            <w:tcW w:w="567" w:type="dxa"/>
            <w:shd w:val="clear" w:color="auto" w:fill="FFFFFF"/>
            <w:vAlign w:val="center"/>
            <w:hideMark/>
          </w:tcPr>
          <w:p w14:paraId="64CBE9A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DCF9B28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Рентгенкассеты</w:t>
            </w:r>
            <w:proofErr w:type="spellEnd"/>
          </w:p>
        </w:tc>
        <w:tc>
          <w:tcPr>
            <w:tcW w:w="6095" w:type="dxa"/>
            <w:shd w:val="clear" w:color="auto" w:fill="FFFFFF"/>
            <w:hideMark/>
          </w:tcPr>
          <w:p w14:paraId="2080588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18*24</w:t>
            </w:r>
          </w:p>
        </w:tc>
        <w:tc>
          <w:tcPr>
            <w:tcW w:w="2552" w:type="dxa"/>
            <w:shd w:val="clear" w:color="auto" w:fill="FFFFFF"/>
            <w:hideMark/>
          </w:tcPr>
          <w:p w14:paraId="76D0E46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FFFFFF"/>
            <w:hideMark/>
          </w:tcPr>
          <w:p w14:paraId="46D7D19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091278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122 227,00</w:t>
            </w:r>
          </w:p>
        </w:tc>
        <w:tc>
          <w:tcPr>
            <w:tcW w:w="1418" w:type="dxa"/>
            <w:shd w:val="clear" w:color="auto" w:fill="FFFFFF"/>
          </w:tcPr>
          <w:p w14:paraId="3BA59E43" w14:textId="657E7C3E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227,00</w:t>
            </w:r>
          </w:p>
        </w:tc>
      </w:tr>
    </w:tbl>
    <w:p w14:paraId="54DA5928" w14:textId="77777777" w:rsidR="006F4530" w:rsidRPr="006F4530" w:rsidRDefault="006F4530" w:rsidP="006F4530">
      <w:pPr>
        <w:spacing w:after="160" w:line="259" w:lineRule="auto"/>
        <w:rPr>
          <w:rFonts w:cs="Times New Roman"/>
          <w:lang w:eastAsia="en-US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6095"/>
        <w:gridCol w:w="2297"/>
        <w:gridCol w:w="708"/>
        <w:gridCol w:w="1134"/>
        <w:gridCol w:w="1418"/>
      </w:tblGrid>
      <w:tr w:rsidR="006F4530" w:rsidRPr="006F4530" w14:paraId="5CEF39EE" w14:textId="77777777" w:rsidTr="003E4127">
        <w:trPr>
          <w:trHeight w:val="300"/>
        </w:trPr>
        <w:tc>
          <w:tcPr>
            <w:tcW w:w="567" w:type="dxa"/>
          </w:tcPr>
          <w:p w14:paraId="579B45A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7ACBBD47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Антиген кардиолипиновый 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14:paraId="75295409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Антиген кардиолипиновый для реакции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микропреципитации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89D83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3905C2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EB16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3 590,00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0892A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35 900,00</w:t>
            </w:r>
          </w:p>
        </w:tc>
      </w:tr>
      <w:tr w:rsidR="006F4530" w:rsidRPr="006F4530" w14:paraId="1C0371E2" w14:textId="77777777" w:rsidTr="003E4127">
        <w:trPr>
          <w:trHeight w:val="636"/>
        </w:trPr>
        <w:tc>
          <w:tcPr>
            <w:tcW w:w="567" w:type="dxa"/>
          </w:tcPr>
          <w:p w14:paraId="608E45D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4D191B0C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Краска Романовского азур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эодин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14:paraId="572F7712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Краситель Азур-эозин по Романовскому Состав: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0,76% р-р Азур-эозина в смеси метанола и глицерина – 1 флакон (1 л) 2). Концентрированный раствор фосфатного буфера – 1 флакон (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1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л)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2F7D3F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088B903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2732A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2 200,00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CF8A9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8 800,00</w:t>
            </w:r>
          </w:p>
        </w:tc>
      </w:tr>
      <w:tr w:rsidR="006F4530" w:rsidRPr="006F4530" w14:paraId="71DDAEA0" w14:textId="77777777" w:rsidTr="003E4127">
        <w:trPr>
          <w:trHeight w:val="945"/>
        </w:trPr>
        <w:tc>
          <w:tcPr>
            <w:tcW w:w="567" w:type="dxa"/>
          </w:tcPr>
          <w:p w14:paraId="4B34AE1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3F076AAB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Набор для окраски по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Граму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14:paraId="1A93F272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Карболовый раствор генциана фиолетового, 25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Раствор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Люголя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25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Водный раствор фуксина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2,5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Инструкция по применению набора для окраски по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Граму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1 шт.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8C8CE7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0AA576E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CF8DA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8 900,00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7A24A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178 000,00</w:t>
            </w:r>
          </w:p>
        </w:tc>
      </w:tr>
      <w:tr w:rsidR="006F4530" w:rsidRPr="006F4530" w14:paraId="130F7C4D" w14:textId="77777777" w:rsidTr="003E4127">
        <w:trPr>
          <w:trHeight w:val="300"/>
        </w:trPr>
        <w:tc>
          <w:tcPr>
            <w:tcW w:w="567" w:type="dxa"/>
          </w:tcPr>
          <w:p w14:paraId="60812FA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570DF980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Фиксатор Май-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Грюнвельда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hideMark/>
          </w:tcPr>
          <w:p w14:paraId="4E29898D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Фиксатор краситель эозин метиленовый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сний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май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грюнвельду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1 литр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A8ECF3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43AF9D5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34B75A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1 700,00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6AC4D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3 400,00</w:t>
            </w:r>
          </w:p>
        </w:tc>
      </w:tr>
      <w:tr w:rsidR="006F4530" w:rsidRPr="006F4530" w14:paraId="507AAEF7" w14:textId="77777777" w:rsidTr="003E4127">
        <w:trPr>
          <w:trHeight w:val="300"/>
        </w:trPr>
        <w:tc>
          <w:tcPr>
            <w:tcW w:w="567" w:type="dxa"/>
          </w:tcPr>
          <w:p w14:paraId="54204EE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2807" w:type="dxa"/>
            <w:shd w:val="clear" w:color="auto" w:fill="auto"/>
            <w:hideMark/>
          </w:tcPr>
          <w:p w14:paraId="76806901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Раствор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Азопирама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14:paraId="37495130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Азопирам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для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предстерилизационного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контроля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150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мл</w:t>
            </w:r>
            <w:proofErr w:type="spellEnd"/>
          </w:p>
        </w:tc>
        <w:tc>
          <w:tcPr>
            <w:tcW w:w="2297" w:type="dxa"/>
            <w:shd w:val="clear" w:color="auto" w:fill="auto"/>
            <w:noWrap/>
            <w:hideMark/>
          </w:tcPr>
          <w:p w14:paraId="12BC61C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набор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6000B443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10506D" w14:textId="77777777" w:rsidR="006F4530" w:rsidRPr="006F4530" w:rsidRDefault="006F4530" w:rsidP="006F453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2 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50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EA1029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20 000,00</w:t>
            </w:r>
          </w:p>
        </w:tc>
      </w:tr>
      <w:tr w:rsidR="006F4530" w:rsidRPr="006F4530" w14:paraId="7334CE60" w14:textId="77777777" w:rsidTr="003E4127">
        <w:trPr>
          <w:trHeight w:val="409"/>
        </w:trPr>
        <w:tc>
          <w:tcPr>
            <w:tcW w:w="567" w:type="dxa"/>
          </w:tcPr>
          <w:p w14:paraId="0D970AC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768648D7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П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ростыни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одноразовые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14:paraId="18A54F4D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Простыни одноразовые голубые в сложенном виде, плотность 18-20гр./м2 размеры:140*80см, 100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рулоне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8E005BB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654898B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7B71E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8BF70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80 000,00</w:t>
            </w:r>
          </w:p>
        </w:tc>
      </w:tr>
      <w:tr w:rsidR="006F4530" w:rsidRPr="006F4530" w14:paraId="712AFAE6" w14:textId="77777777" w:rsidTr="003E4127">
        <w:trPr>
          <w:trHeight w:val="300"/>
        </w:trPr>
        <w:tc>
          <w:tcPr>
            <w:tcW w:w="567" w:type="dxa"/>
          </w:tcPr>
          <w:p w14:paraId="4BDE3CE7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27D3366C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С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алфетки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спиртовые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14:paraId="6CDB922A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Салфетка спиртовая пропитана 70% раствором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изоприлового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спирта и обладает выраженным противомикробным и антибактериальным действием. Выполнена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нетканного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E8359A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14:paraId="50135A5F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7ECE4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BC0C26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2 000,00</w:t>
            </w:r>
          </w:p>
        </w:tc>
      </w:tr>
      <w:tr w:rsidR="003E4127" w:rsidRPr="006F4530" w14:paraId="412E1D64" w14:textId="77777777" w:rsidTr="003E4127">
        <w:trPr>
          <w:trHeight w:val="300"/>
        </w:trPr>
        <w:tc>
          <w:tcPr>
            <w:tcW w:w="567" w:type="dxa"/>
          </w:tcPr>
          <w:p w14:paraId="18E83561" w14:textId="77777777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28</w:t>
            </w:r>
          </w:p>
        </w:tc>
        <w:tc>
          <w:tcPr>
            <w:tcW w:w="2807" w:type="dxa"/>
            <w:shd w:val="clear" w:color="auto" w:fill="auto"/>
            <w:noWrap/>
          </w:tcPr>
          <w:p w14:paraId="1F548C67" w14:textId="77777777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Датчик канала АД (датчик тонов Короткова/датчик пульсовой волны) для серии «КАРДИОТЕХНИКА-07»</w:t>
            </w:r>
          </w:p>
        </w:tc>
        <w:tc>
          <w:tcPr>
            <w:tcW w:w="6095" w:type="dxa"/>
            <w:shd w:val="clear" w:color="auto" w:fill="auto"/>
            <w:noWrap/>
          </w:tcPr>
          <w:p w14:paraId="099B0DCF" w14:textId="77777777" w:rsidR="003E4127" w:rsidRPr="006F4530" w:rsidRDefault="003E4127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Гарантийный срок эксплуатации - 4 месяца.</w:t>
            </w:r>
          </w:p>
        </w:tc>
        <w:tc>
          <w:tcPr>
            <w:tcW w:w="2297" w:type="dxa"/>
            <w:shd w:val="clear" w:color="auto" w:fill="auto"/>
            <w:noWrap/>
          </w:tcPr>
          <w:p w14:paraId="1C6D6F21" w14:textId="26C1786A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2D4D0FEB" w14:textId="02006262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068766D" w14:textId="63CAECAB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46 806,00</w:t>
            </w:r>
          </w:p>
        </w:tc>
        <w:tc>
          <w:tcPr>
            <w:tcW w:w="1418" w:type="dxa"/>
            <w:shd w:val="clear" w:color="auto" w:fill="auto"/>
            <w:noWrap/>
          </w:tcPr>
          <w:p w14:paraId="4293F516" w14:textId="7AE63642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93 612,00</w:t>
            </w:r>
          </w:p>
        </w:tc>
      </w:tr>
      <w:tr w:rsidR="003E4127" w:rsidRPr="006F4530" w14:paraId="032C2DD5" w14:textId="77777777" w:rsidTr="003E4127">
        <w:trPr>
          <w:trHeight w:val="300"/>
        </w:trPr>
        <w:tc>
          <w:tcPr>
            <w:tcW w:w="567" w:type="dxa"/>
          </w:tcPr>
          <w:p w14:paraId="212A69BC" w14:textId="77777777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14:paraId="7327140E" w14:textId="77777777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Одноразовый ЭКГ-электрод MSGLT-05-MGRT, 50 </w:t>
            </w: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шт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</w:tcPr>
          <w:p w14:paraId="3D395738" w14:textId="77777777" w:rsidR="003E4127" w:rsidRPr="006F4530" w:rsidRDefault="003E4127" w:rsidP="003E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Размер 40х36. — 300 </w:t>
            </w: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шт</w:t>
            </w:r>
            <w:proofErr w:type="spellEnd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br/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С твердым гелем, пенной основой, сильной степенью прилипания.</w:t>
            </w:r>
          </w:p>
        </w:tc>
        <w:tc>
          <w:tcPr>
            <w:tcW w:w="2297" w:type="dxa"/>
            <w:shd w:val="clear" w:color="auto" w:fill="auto"/>
            <w:noWrap/>
          </w:tcPr>
          <w:p w14:paraId="5BD3DC2E" w14:textId="1781A8F6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69B2AC92" w14:textId="5D0D2C05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06935168" w14:textId="5D5E9DBF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83,52</w:t>
            </w:r>
          </w:p>
        </w:tc>
        <w:tc>
          <w:tcPr>
            <w:tcW w:w="1418" w:type="dxa"/>
            <w:shd w:val="clear" w:color="auto" w:fill="auto"/>
            <w:noWrap/>
          </w:tcPr>
          <w:p w14:paraId="5CA6B9A1" w14:textId="11D691BD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25 056,00</w:t>
            </w:r>
          </w:p>
        </w:tc>
      </w:tr>
      <w:tr w:rsidR="003E4127" w:rsidRPr="006F4530" w14:paraId="2E9E1A77" w14:textId="77777777" w:rsidTr="003E4127">
        <w:trPr>
          <w:trHeight w:val="300"/>
        </w:trPr>
        <w:tc>
          <w:tcPr>
            <w:tcW w:w="567" w:type="dxa"/>
          </w:tcPr>
          <w:p w14:paraId="50E6FDC6" w14:textId="77777777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14:paraId="48A27404" w14:textId="77777777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Салфетки для манжет (большие), упаковка 50 шт.</w:t>
            </w:r>
          </w:p>
        </w:tc>
        <w:tc>
          <w:tcPr>
            <w:tcW w:w="6095" w:type="dxa"/>
            <w:shd w:val="clear" w:color="auto" w:fill="auto"/>
            <w:noWrap/>
          </w:tcPr>
          <w:p w14:paraId="1B499B31" w14:textId="77777777" w:rsidR="003E4127" w:rsidRPr="006F4530" w:rsidRDefault="003E4127" w:rsidP="003E4127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 манжет больших: 17х 45 см</w:t>
            </w:r>
            <w:r w:rsidRPr="006F4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/>
              </w:rPr>
              <w:t xml:space="preserve">, 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Нетканый материал медицинского назначения «</w:t>
            </w: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Фибрелла</w:t>
            </w:r>
            <w:proofErr w:type="spellEnd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»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 xml:space="preserve">, 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Применяются при суточном мониторировании артериального давления, для </w:t>
            </w:r>
            <w:hyperlink r:id="rId8" w:tooltip="СМАД" w:history="1">
              <w:r w:rsidRPr="006F4530">
                <w:rPr>
                  <w:rFonts w:ascii="Times New Roman" w:hAnsi="Times New Roman" w:cs="Times New Roman"/>
                  <w:color w:val="33539C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СМАД</w:t>
              </w:r>
            </w:hyperlink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97" w:type="dxa"/>
            <w:shd w:val="clear" w:color="auto" w:fill="auto"/>
            <w:noWrap/>
          </w:tcPr>
          <w:p w14:paraId="71D36331" w14:textId="2B9B3DC8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55913813" w14:textId="2F281B6F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3F2112AF" w14:textId="30B1367C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2 305,5</w:t>
            </w:r>
          </w:p>
        </w:tc>
        <w:tc>
          <w:tcPr>
            <w:tcW w:w="1418" w:type="dxa"/>
            <w:shd w:val="clear" w:color="auto" w:fill="auto"/>
            <w:noWrap/>
          </w:tcPr>
          <w:p w14:paraId="72D69EFC" w14:textId="1983FFA0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6 916,50</w:t>
            </w:r>
          </w:p>
        </w:tc>
      </w:tr>
      <w:tr w:rsidR="003E4127" w:rsidRPr="006F4530" w14:paraId="4A67DA9F" w14:textId="77777777" w:rsidTr="003E4127">
        <w:trPr>
          <w:trHeight w:val="300"/>
        </w:trPr>
        <w:tc>
          <w:tcPr>
            <w:tcW w:w="567" w:type="dxa"/>
          </w:tcPr>
          <w:p w14:paraId="026A16E2" w14:textId="77777777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14:paraId="3AFC92CD" w14:textId="77777777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Салфетки для манжет (средние), упаковка 50 шт. </w:t>
            </w:r>
          </w:p>
        </w:tc>
        <w:tc>
          <w:tcPr>
            <w:tcW w:w="6095" w:type="dxa"/>
            <w:shd w:val="clear" w:color="auto" w:fill="auto"/>
            <w:noWrap/>
          </w:tcPr>
          <w:p w14:paraId="06988CE2" w14:textId="77777777" w:rsidR="003E4127" w:rsidRPr="006F4530" w:rsidRDefault="003E4127" w:rsidP="003E4127">
            <w:pPr>
              <w:shd w:val="clear" w:color="auto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 манжет средних: 20 х 40 см</w:t>
            </w:r>
            <w:r w:rsidRPr="006F4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/>
              </w:rPr>
              <w:t xml:space="preserve">, 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Нетканый материал медицинского назначения «</w:t>
            </w: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Фибрелла</w:t>
            </w:r>
            <w:proofErr w:type="spellEnd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»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 xml:space="preserve">, </w:t>
            </w:r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Применяются при суточном мониторировании артериального давления, для </w:t>
            </w:r>
            <w:hyperlink r:id="rId9" w:tooltip="СМАД" w:history="1">
              <w:r w:rsidRPr="006F4530">
                <w:rPr>
                  <w:rFonts w:ascii="Times New Roman" w:hAnsi="Times New Roman" w:cs="Times New Roman"/>
                  <w:color w:val="33539C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СМАД</w:t>
              </w:r>
            </w:hyperlink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97" w:type="dxa"/>
            <w:shd w:val="clear" w:color="auto" w:fill="auto"/>
            <w:noWrap/>
          </w:tcPr>
          <w:p w14:paraId="25616C61" w14:textId="29B40B75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25879A82" w14:textId="56FD40B5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E3F3BD3" w14:textId="4CA854DE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1 914,00</w:t>
            </w:r>
          </w:p>
        </w:tc>
        <w:tc>
          <w:tcPr>
            <w:tcW w:w="1418" w:type="dxa"/>
            <w:shd w:val="clear" w:color="auto" w:fill="auto"/>
            <w:noWrap/>
          </w:tcPr>
          <w:p w14:paraId="3AE6FC3F" w14:textId="70CC9ED0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5 742,00</w:t>
            </w:r>
          </w:p>
        </w:tc>
      </w:tr>
      <w:tr w:rsidR="006F4530" w:rsidRPr="006F4530" w14:paraId="760E6CE3" w14:textId="77777777" w:rsidTr="003E4127">
        <w:trPr>
          <w:trHeight w:val="300"/>
        </w:trPr>
        <w:tc>
          <w:tcPr>
            <w:tcW w:w="567" w:type="dxa"/>
          </w:tcPr>
          <w:p w14:paraId="0D3AE88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2807" w:type="dxa"/>
            <w:shd w:val="clear" w:color="auto" w:fill="auto"/>
            <w:noWrap/>
          </w:tcPr>
          <w:p w14:paraId="27F6F93B" w14:textId="77777777" w:rsidR="006F4530" w:rsidRPr="006F4530" w:rsidRDefault="006F4530" w:rsidP="006F45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>Крафт</w:t>
            </w:r>
            <w:proofErr w:type="spellEnd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proofErr w:type="spellStart"/>
            <w:r w:rsidRPr="006F45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>бумага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</w:tcPr>
          <w:p w14:paraId="48C407C7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предназначена для упаковки медицинских изделий, изготовления пакетов для воздушной и паровой стерилизации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, размер 100*106, 5 кг в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рулоне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/60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листов</w:t>
            </w:r>
            <w:proofErr w:type="spellEnd"/>
          </w:p>
        </w:tc>
        <w:tc>
          <w:tcPr>
            <w:tcW w:w="2297" w:type="dxa"/>
            <w:shd w:val="clear" w:color="auto" w:fill="auto"/>
            <w:noWrap/>
          </w:tcPr>
          <w:p w14:paraId="236B31BD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рул</w:t>
            </w:r>
          </w:p>
        </w:tc>
        <w:tc>
          <w:tcPr>
            <w:tcW w:w="708" w:type="dxa"/>
            <w:shd w:val="clear" w:color="auto" w:fill="auto"/>
            <w:noWrap/>
          </w:tcPr>
          <w:p w14:paraId="625FEE55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5472872" w14:textId="3FA30A95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</w:t>
            </w:r>
            <w:r w:rsidR="003E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 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600</w:t>
            </w:r>
            <w:r w:rsidR="003E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14:paraId="65E750AA" w14:textId="508A4A49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33</w:t>
            </w:r>
            <w:r w:rsidR="003E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000</w:t>
            </w:r>
            <w:r w:rsidR="003E4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,00</w:t>
            </w:r>
          </w:p>
        </w:tc>
      </w:tr>
      <w:tr w:rsidR="006F4530" w:rsidRPr="006F4530" w14:paraId="3B7A4EE3" w14:textId="77777777" w:rsidTr="003E4127">
        <w:trPr>
          <w:trHeight w:val="300"/>
        </w:trPr>
        <w:tc>
          <w:tcPr>
            <w:tcW w:w="567" w:type="dxa"/>
          </w:tcPr>
          <w:p w14:paraId="22742638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2807" w:type="dxa"/>
            <w:shd w:val="clear" w:color="auto" w:fill="auto"/>
            <w:noWrap/>
          </w:tcPr>
          <w:p w14:paraId="5CEAFF98" w14:textId="77777777" w:rsidR="006F4530" w:rsidRPr="006F4530" w:rsidRDefault="006F4530" w:rsidP="006F45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6F4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Пентоксифиллин</w:t>
            </w:r>
            <w:proofErr w:type="spellEnd"/>
            <w:r w:rsidRPr="006F4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noWrap/>
          </w:tcPr>
          <w:p w14:paraId="3E5C4E79" w14:textId="77777777" w:rsidR="006F4530" w:rsidRPr="006F4530" w:rsidRDefault="006F4530" w:rsidP="006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F4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2% 5 мл №5</w:t>
            </w:r>
          </w:p>
        </w:tc>
        <w:tc>
          <w:tcPr>
            <w:tcW w:w="2297" w:type="dxa"/>
            <w:shd w:val="clear" w:color="auto" w:fill="auto"/>
            <w:noWrap/>
          </w:tcPr>
          <w:p w14:paraId="763B532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6F4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5CF18E7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134" w:type="dxa"/>
            <w:shd w:val="clear" w:color="auto" w:fill="auto"/>
            <w:noWrap/>
          </w:tcPr>
          <w:p w14:paraId="39F2D414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335,41</w:t>
            </w:r>
          </w:p>
        </w:tc>
        <w:tc>
          <w:tcPr>
            <w:tcW w:w="1418" w:type="dxa"/>
            <w:shd w:val="clear" w:color="auto" w:fill="auto"/>
            <w:noWrap/>
          </w:tcPr>
          <w:p w14:paraId="33BED83C" w14:textId="77777777" w:rsidR="006F4530" w:rsidRPr="006F4530" w:rsidRDefault="006F4530" w:rsidP="006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1 006 230,00</w:t>
            </w:r>
          </w:p>
        </w:tc>
      </w:tr>
      <w:tr w:rsidR="003E4127" w:rsidRPr="006F4530" w14:paraId="023547D5" w14:textId="77777777" w:rsidTr="003E4127">
        <w:trPr>
          <w:trHeight w:val="300"/>
        </w:trPr>
        <w:tc>
          <w:tcPr>
            <w:tcW w:w="567" w:type="dxa"/>
          </w:tcPr>
          <w:p w14:paraId="5E31332E" w14:textId="77777777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2807" w:type="dxa"/>
            <w:shd w:val="clear" w:color="auto" w:fill="auto"/>
            <w:noWrap/>
          </w:tcPr>
          <w:p w14:paraId="208547F3" w14:textId="118DE04B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F4530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Раствор</w:t>
            </w:r>
            <w:proofErr w:type="spellEnd"/>
            <w:r w:rsidRPr="006F4530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кальция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хлорид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%+ р-р 1% димедрола 200,0мл</w:t>
            </w:r>
          </w:p>
        </w:tc>
        <w:tc>
          <w:tcPr>
            <w:tcW w:w="6095" w:type="dxa"/>
            <w:shd w:val="clear" w:color="auto" w:fill="auto"/>
            <w:noWrap/>
          </w:tcPr>
          <w:p w14:paraId="3425FFC2" w14:textId="04D88B61" w:rsidR="003E4127" w:rsidRPr="006F4530" w:rsidRDefault="003E4127" w:rsidP="003E4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годности 10 дней, поставка по заявке заказчика в течение действия договора</w:t>
            </w:r>
          </w:p>
        </w:tc>
        <w:tc>
          <w:tcPr>
            <w:tcW w:w="2297" w:type="dxa"/>
            <w:shd w:val="clear" w:color="auto" w:fill="auto"/>
            <w:noWrap/>
          </w:tcPr>
          <w:p w14:paraId="30D17E15" w14:textId="24991BB4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6FDEC5D7" w14:textId="48304F35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5058BD9E" w14:textId="005B6F7C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</w:tcPr>
          <w:p w14:paraId="776F419E" w14:textId="4ED0A99C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30 000,00</w:t>
            </w:r>
          </w:p>
        </w:tc>
      </w:tr>
      <w:tr w:rsidR="003E4127" w:rsidRPr="006F4530" w14:paraId="3D504535" w14:textId="77777777" w:rsidTr="003E4127">
        <w:trPr>
          <w:trHeight w:val="300"/>
        </w:trPr>
        <w:tc>
          <w:tcPr>
            <w:tcW w:w="567" w:type="dxa"/>
          </w:tcPr>
          <w:p w14:paraId="01D48359" w14:textId="6824E87E" w:rsidR="003E4127" w:rsidRPr="006F4530" w:rsidRDefault="003E4127" w:rsidP="003E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32</w:t>
            </w:r>
          </w:p>
        </w:tc>
        <w:tc>
          <w:tcPr>
            <w:tcW w:w="2807" w:type="dxa"/>
            <w:shd w:val="clear" w:color="auto" w:fill="auto"/>
            <w:noWrap/>
          </w:tcPr>
          <w:p w14:paraId="50BFAFB8" w14:textId="66C3DFCC" w:rsidR="000E2793" w:rsidRPr="000E2793" w:rsidRDefault="000E2793" w:rsidP="003E4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еинвазивный портативный автоматический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транскутанный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 анализатор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гипербилирубинемии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новорожденных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Билитест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</w:tcPr>
          <w:p w14:paraId="5983981A" w14:textId="2F163854" w:rsidR="000E2793" w:rsidRPr="000E2793" w:rsidRDefault="000E2793" w:rsidP="000E2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279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Билитест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 предназначен для определения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транскутанного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билирубинового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индекса ТБИ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представляет собой миниатюрный одноканальный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двухволновый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фотометр отражательного типа. Фактически измеряется степень желтизны подкожных тканей ребенка на фоне окраски, обусловленной присутствием гемоглобина крови.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Оптическая схема прибора с одновременным измерением на длинах волн 492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нм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523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нм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позволяет компенсировать влияние гемоглобина кожи на показания прибора. Длительность измерительного цикла не превышает 1-2 секунд. Измерительный цикл начинается автоматически при прижатии подвижной головки прибора к ребенку. Повторные измерения возможны через каждые 5 секунд без необходимости стирания результата предыдущего измерения. Прибор питается от трех миниатюрных элементов питания, энергии которых достаточно для 1 000 000 измерений. Прибор не требует включения и выключения, он постоянно находится в режиме ожидания измерений с минимальным энергопотреблением. Масса прибора всего 150 г.</w:t>
            </w:r>
          </w:p>
          <w:p w14:paraId="286EF3D7" w14:textId="77777777" w:rsidR="000E2793" w:rsidRPr="000E2793" w:rsidRDefault="000E2793" w:rsidP="000E2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Средство измерения.</w:t>
            </w:r>
          </w:p>
          <w:p w14:paraId="3E72BCB9" w14:textId="5E8FC382" w:rsidR="000E2793" w:rsidRDefault="000E2793" w:rsidP="000E279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БИЛИТЕСТ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является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средством измерения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сертификат измерения обязательно! </w:t>
            </w:r>
          </w:p>
          <w:p w14:paraId="7D23DD51" w14:textId="7E6687C0" w:rsidR="000E2793" w:rsidRPr="000E2793" w:rsidRDefault="000E2793" w:rsidP="000E279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Метод измерения -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двухволновая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отражательная фотометрия.</w:t>
            </w:r>
          </w:p>
          <w:p w14:paraId="63EE79F7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Оптическая схема прибора имеет два спектральных канала. Рабочие длины волн: 492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нм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523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нм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4EC9D737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Диапазон измерений - 0-50 ед. ТБИ (0-500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мкмоль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/л), что соответствует диапазону измерения логарифма отношения </w:t>
            </w: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спектральных коэффициентов отражения света на двух длинах волн от 0,1 до 1,0 Ед.</w:t>
            </w:r>
          </w:p>
          <w:p w14:paraId="305234B2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разрядов десятичного кода на цифровом табло-индикаторе прибора равно двум. Единица наименьшего разряда кода на цифровом табло прибора, ТБИ – 1.</w:t>
            </w:r>
          </w:p>
          <w:p w14:paraId="5CBC50BA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Воспроизводимость измерений по данным клинических испытаний - в пределах 3,5 ТБИ, что соответствует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примерно  35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мкмоль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/л.</w:t>
            </w:r>
          </w:p>
          <w:p w14:paraId="3F71D506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Коэффициент корреляции между концентрацией билирубина в крови и показателем ТБИ по измерениям на лбу новорожденного по данным клинических испытаний составляет не менее 0,90.</w:t>
            </w:r>
          </w:p>
          <w:p w14:paraId="0D061EC6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измерения - не более 2 с.</w:t>
            </w:r>
          </w:p>
          <w:p w14:paraId="3ED7525E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Автоматическая калибровка прибора осуществляется каждые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  мин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  если прибор находится в футляре.</w:t>
            </w:r>
          </w:p>
          <w:p w14:paraId="657FC214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контроля работы прибора не требуются калибраторы.  Контрольные светофильтры установлены в футляре прибора.</w:t>
            </w:r>
          </w:p>
          <w:p w14:paraId="7145629D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- два светодиода белого цвета свечения сроком службы не менее 10000000 измерений.</w:t>
            </w:r>
          </w:p>
          <w:p w14:paraId="0DE509B7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Прибор работает от трех элементов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питания,  постоянного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напряжения 1,5 В каждый (типа ААА или LR03). При использовании щелочных элементов питания, один комплект обеспечивает более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1000000  измерений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 замены элементов питания в течение полного срока службы батарей.</w:t>
            </w:r>
          </w:p>
          <w:p w14:paraId="26B25B84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Прибор имеет индикацию разряда элементов питания.</w:t>
            </w:r>
          </w:p>
          <w:p w14:paraId="236DACF9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Ток потребления при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напряжении  питания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4,5 В - не более 20 мА.</w:t>
            </w:r>
          </w:p>
          <w:p w14:paraId="41919404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Усилие нажатия на подвижную </w:t>
            </w:r>
            <w:proofErr w:type="spell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световодную</w:t>
            </w:r>
            <w:proofErr w:type="spell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головку,  необходимое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запуска измерительного цикла, – (2±1) Н.</w:t>
            </w:r>
          </w:p>
          <w:p w14:paraId="08E822D7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Габаритные размеры прибора не превышают (130х65х35) мм.</w:t>
            </w:r>
          </w:p>
          <w:p w14:paraId="4C8D4D39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Масса прибора с комплектом </w:t>
            </w:r>
            <w:proofErr w:type="gramStart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батарей,  но</w:t>
            </w:r>
            <w:proofErr w:type="gramEnd"/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 комплекта запасных частей и принадлежностей (ЗИП) - не более 200 г, в полном комплекте поставки - не более 600 г.</w:t>
            </w:r>
          </w:p>
          <w:p w14:paraId="63D8699C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Прибор используется в помещениях при температуре от 15°С до 35°С.</w:t>
            </w:r>
          </w:p>
          <w:p w14:paraId="005860B7" w14:textId="77777777" w:rsidR="000E2793" w:rsidRPr="000E2793" w:rsidRDefault="000E2793" w:rsidP="000E2793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Средний срок службы (долговечность) прибора - не менее 4-х лет.</w:t>
            </w:r>
          </w:p>
          <w:p w14:paraId="64C4FD23" w14:textId="441BE24C" w:rsidR="003E4127" w:rsidRPr="000E2793" w:rsidRDefault="000E2793" w:rsidP="003E4127">
            <w:pPr>
              <w:numPr>
                <w:ilvl w:val="0"/>
                <w:numId w:val="4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Гарантийный срок эксплуатации прибора - 1 год со дня ввода в эксплуатацию, но не более 1 года и 3 месяцев со дня отгрузки предприятием-производителем.</w:t>
            </w:r>
          </w:p>
        </w:tc>
        <w:tc>
          <w:tcPr>
            <w:tcW w:w="2297" w:type="dxa"/>
            <w:shd w:val="clear" w:color="auto" w:fill="auto"/>
            <w:noWrap/>
          </w:tcPr>
          <w:p w14:paraId="743009A5" w14:textId="32639AF0" w:rsidR="003E4127" w:rsidRDefault="000E279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71EEE84A" w14:textId="323BBCBC" w:rsidR="003E4127" w:rsidRDefault="000E279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755247B4" w14:textId="6DA0FADE" w:rsidR="003E4127" w:rsidRDefault="000E279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898 000,00</w:t>
            </w:r>
          </w:p>
        </w:tc>
        <w:tc>
          <w:tcPr>
            <w:tcW w:w="1418" w:type="dxa"/>
            <w:shd w:val="clear" w:color="auto" w:fill="auto"/>
            <w:noWrap/>
          </w:tcPr>
          <w:p w14:paraId="469E86B3" w14:textId="507C5438" w:rsidR="003E4127" w:rsidRDefault="000E279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2 694 000,00</w:t>
            </w:r>
          </w:p>
          <w:p w14:paraId="7095C916" w14:textId="0BC95A6C" w:rsidR="000E2793" w:rsidRDefault="000E279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1"/>
    </w:tbl>
    <w:p w14:paraId="28E4B188" w14:textId="77777777" w:rsidR="00D90139" w:rsidRDefault="00D90139" w:rsidP="00613723">
      <w:pPr>
        <w:spacing w:after="0" w:line="240" w:lineRule="auto"/>
      </w:pPr>
    </w:p>
    <w:sectPr w:rsidR="00D90139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4489D"/>
    <w:rsid w:val="00044F7F"/>
    <w:rsid w:val="000E2793"/>
    <w:rsid w:val="000F2F84"/>
    <w:rsid w:val="0011288F"/>
    <w:rsid w:val="00120087"/>
    <w:rsid w:val="001826CF"/>
    <w:rsid w:val="00190AA1"/>
    <w:rsid w:val="001E388D"/>
    <w:rsid w:val="00242134"/>
    <w:rsid w:val="00253CBA"/>
    <w:rsid w:val="002B0524"/>
    <w:rsid w:val="00364EE4"/>
    <w:rsid w:val="00376273"/>
    <w:rsid w:val="003E4127"/>
    <w:rsid w:val="00442835"/>
    <w:rsid w:val="00481DE5"/>
    <w:rsid w:val="005F3FA3"/>
    <w:rsid w:val="00613723"/>
    <w:rsid w:val="00687064"/>
    <w:rsid w:val="00690408"/>
    <w:rsid w:val="006B373C"/>
    <w:rsid w:val="006F4530"/>
    <w:rsid w:val="0074115B"/>
    <w:rsid w:val="00757A5C"/>
    <w:rsid w:val="007A593C"/>
    <w:rsid w:val="007E59DD"/>
    <w:rsid w:val="008101B2"/>
    <w:rsid w:val="008213C9"/>
    <w:rsid w:val="008E7D35"/>
    <w:rsid w:val="008F0A0D"/>
    <w:rsid w:val="00905D14"/>
    <w:rsid w:val="009D638B"/>
    <w:rsid w:val="00A11C58"/>
    <w:rsid w:val="00A61F3E"/>
    <w:rsid w:val="00B60BC5"/>
    <w:rsid w:val="00BA17B5"/>
    <w:rsid w:val="00BD00F6"/>
    <w:rsid w:val="00BD4D7D"/>
    <w:rsid w:val="00C10C41"/>
    <w:rsid w:val="00C34914"/>
    <w:rsid w:val="00D14E23"/>
    <w:rsid w:val="00D90139"/>
    <w:rsid w:val="00DA3623"/>
    <w:rsid w:val="00DC180E"/>
    <w:rsid w:val="00DD447F"/>
    <w:rsid w:val="00DD60DF"/>
    <w:rsid w:val="00DE5C46"/>
    <w:rsid w:val="00DE623C"/>
    <w:rsid w:val="00DF69F6"/>
    <w:rsid w:val="00E0414D"/>
    <w:rsid w:val="00E105E2"/>
    <w:rsid w:val="00E21A68"/>
    <w:rsid w:val="00E832F0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rt.ru/production/kt-07/sm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K090000193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cart.ru/production/kt-07/sm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2021-02-26T10:29:00Z</cp:lastPrinted>
  <dcterms:created xsi:type="dcterms:W3CDTF">2019-11-15T10:54:00Z</dcterms:created>
  <dcterms:modified xsi:type="dcterms:W3CDTF">2021-02-26T10:31:00Z</dcterms:modified>
</cp:coreProperties>
</file>