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(иммунологического лекарственного препарата)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медицинских изделий</w:t>
      </w:r>
    </w:p>
    <w:p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02F4" w:rsidRP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Постановлением Правительства Республики Казахстан от 30 октября 2009 года № 1729 «</w:t>
      </w:r>
      <w:r w:rsidR="00242134"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 и медицинских изделий, фармацевтических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="00242134"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лекарственного средства (иммунологического лекарственного препарата)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способом запроса ценовых предложений на следующие наименования: </w:t>
      </w:r>
      <w:proofErr w:type="gramEnd"/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7512"/>
        <w:gridCol w:w="851"/>
        <w:gridCol w:w="850"/>
        <w:gridCol w:w="993"/>
        <w:gridCol w:w="1275"/>
      </w:tblGrid>
      <w:tr w:rsidR="00242134" w:rsidRPr="00242134" w:rsidTr="00DE623C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</w:t>
            </w:r>
            <w:proofErr w:type="gramStart"/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.и</w:t>
            </w:r>
            <w:proofErr w:type="gramEnd"/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gramStart"/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</w:t>
            </w:r>
            <w:proofErr w:type="gramEnd"/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выделенная для закупа</w:t>
            </w:r>
          </w:p>
        </w:tc>
      </w:tr>
      <w:tr w:rsidR="00242134" w:rsidRPr="00242134" w:rsidTr="00DE623C">
        <w:trPr>
          <w:trHeight w:val="330"/>
        </w:trPr>
        <w:tc>
          <w:tcPr>
            <w:tcW w:w="582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Зонд с тампоном в пробирке</w:t>
            </w:r>
          </w:p>
        </w:tc>
        <w:tc>
          <w:tcPr>
            <w:tcW w:w="7512" w:type="dxa"/>
            <w:shd w:val="clear" w:color="auto" w:fill="auto"/>
          </w:tcPr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Зонд с тампоном в пробирке предназначена для взятия и сохранения биологического материала с с последующей транспортировкой в лабораторию для проведения исследований. </w:t>
            </w:r>
          </w:p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Технические характеристики:</w:t>
            </w:r>
          </w:p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Зонд-тампон (древо-хлопок): гигроскпичный хлопковый тампон на круглой шлифованной деревянной палочке плотно зафиксирван в пробирк и помещен внутрь пробирки. Пробирка изготовлена из полипропилена, снабжена этикеткой. Стерилизован оксидом этилена. Срок годности 5 лет</w:t>
            </w:r>
          </w:p>
        </w:tc>
        <w:tc>
          <w:tcPr>
            <w:tcW w:w="851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11 400</w:t>
            </w:r>
          </w:p>
        </w:tc>
      </w:tr>
      <w:tr w:rsidR="00242134" w:rsidRPr="00242134" w:rsidTr="00DE623C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Тест полоски для анализатора мочи </w:t>
            </w: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CL</w:t>
            </w: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7512" w:type="dxa"/>
            <w:shd w:val="clear" w:color="auto" w:fill="auto"/>
          </w:tcPr>
          <w:p w:rsidR="00242134" w:rsidRPr="00242134" w:rsidRDefault="00242134" w:rsidP="00242134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Тест полоски </w:t>
            </w:r>
            <w:proofErr w:type="spellStart"/>
            <w:r w:rsidRPr="0024213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UrineRS</w:t>
            </w:r>
            <w:proofErr w:type="spellEnd"/>
            <w:r w:rsidRPr="0024213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Н13 на 13 параметров для анализаторов мочи CL-50, </w:t>
            </w:r>
            <w:proofErr w:type="spellStart"/>
            <w:r w:rsidRPr="00242134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UrineRS</w:t>
            </w:r>
            <w:proofErr w:type="spellEnd"/>
            <w:r w:rsidRPr="0024213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242134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H</w:t>
            </w:r>
            <w:r w:rsidRPr="0024213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</w:t>
            </w:r>
          </w:p>
          <w:p w:rsidR="00242134" w:rsidRPr="00242134" w:rsidRDefault="00242134" w:rsidP="00242134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Полоски предназначены для лабораторного скрининга и индивидуального мониторинга пациента. </w:t>
            </w:r>
          </w:p>
          <w:p w:rsidR="00242134" w:rsidRPr="00242134" w:rsidRDefault="00242134" w:rsidP="00242134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24213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13 параметров: глюкоза, белок, кетоны, нитриты, билирубин, </w:t>
            </w:r>
            <w:proofErr w:type="spellStart"/>
            <w:r w:rsidRPr="0024213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уробилиноген</w:t>
            </w:r>
            <w:proofErr w:type="spellEnd"/>
            <w:r w:rsidRPr="0024213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аскорбиновая кислота, скрытая кровь, лейкоциты, рН, удельный вес, кальций, </w:t>
            </w:r>
            <w:proofErr w:type="spellStart"/>
            <w:r w:rsidRPr="0024213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микроальбумин</w:t>
            </w:r>
            <w:proofErr w:type="spellEnd"/>
            <w:r w:rsidRPr="0024213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:rsidR="00242134" w:rsidRPr="00242134" w:rsidRDefault="00242134" w:rsidP="00242134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24213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100 шт./упаковка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12 800</w:t>
            </w:r>
          </w:p>
        </w:tc>
        <w:tc>
          <w:tcPr>
            <w:tcW w:w="1275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1 280 000</w:t>
            </w:r>
          </w:p>
        </w:tc>
      </w:tr>
      <w:tr w:rsidR="00242134" w:rsidRPr="00242134" w:rsidTr="00DE623C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21A68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Лента диаграммная </w:t>
            </w:r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анализатора мочи CL-50</w:t>
            </w:r>
          </w:p>
        </w:tc>
        <w:tc>
          <w:tcPr>
            <w:tcW w:w="7512" w:type="dxa"/>
            <w:shd w:val="clear" w:color="auto" w:fill="auto"/>
          </w:tcPr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</w:t>
            </w:r>
            <w:proofErr w:type="spellStart"/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умага</w:t>
            </w:r>
            <w:proofErr w:type="spellEnd"/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</w:t>
            </w:r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ля </w:t>
            </w:r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анализатора мочи CL-50</w:t>
            </w:r>
          </w:p>
        </w:tc>
        <w:tc>
          <w:tcPr>
            <w:tcW w:w="851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850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370</w:t>
            </w:r>
          </w:p>
        </w:tc>
        <w:tc>
          <w:tcPr>
            <w:tcW w:w="1275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37 000</w:t>
            </w:r>
          </w:p>
        </w:tc>
      </w:tr>
      <w:tr w:rsidR="00242134" w:rsidRPr="00242134" w:rsidTr="00DE623C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«Антиген кардиолипиновый для реакции </w:t>
            </w:r>
            <w:proofErr w:type="spell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микропреципитации</w:t>
            </w:r>
            <w:proofErr w:type="spellEnd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512" w:type="dxa"/>
            <w:shd w:val="clear" w:color="auto" w:fill="auto"/>
          </w:tcPr>
          <w:p w:rsidR="00242134" w:rsidRPr="00242134" w:rsidRDefault="00242134" w:rsidP="0024213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proofErr w:type="spellStart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СифилисАгКЛ</w:t>
            </w:r>
            <w:proofErr w:type="spellEnd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-РМП Комплект №2. Набор укомплектован сыворотками контрольными для диагностики сифилиса (положительной и отрицательной), на 500 определений</w:t>
            </w:r>
          </w:p>
        </w:tc>
        <w:tc>
          <w:tcPr>
            <w:tcW w:w="851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</w:t>
            </w:r>
            <w:proofErr w:type="spell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абор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29 830</w:t>
            </w:r>
          </w:p>
        </w:tc>
        <w:tc>
          <w:tcPr>
            <w:tcW w:w="1275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208 810</w:t>
            </w:r>
          </w:p>
        </w:tc>
      </w:tr>
      <w:tr w:rsidR="00242134" w:rsidRPr="00242134" w:rsidTr="00DE623C">
        <w:trPr>
          <w:trHeight w:val="374"/>
        </w:trPr>
        <w:tc>
          <w:tcPr>
            <w:tcW w:w="582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Простыня медицинская одноразовая </w:t>
            </w:r>
          </w:p>
        </w:tc>
        <w:tc>
          <w:tcPr>
            <w:tcW w:w="7512" w:type="dxa"/>
            <w:shd w:val="clear" w:color="auto" w:fill="auto"/>
          </w:tcPr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Одноразовые отрывные простыни в рулонах  – обязательный атрибут медицинского центра, салона красоты, массажного кабинета.</w:t>
            </w: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Материал: </w:t>
            </w:r>
            <w:proofErr w:type="spell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нетканный</w:t>
            </w:r>
            <w:proofErr w:type="spellEnd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Цвет: голубой, с перфорацией. Плотность: 20гр/метр. Размер 80см. Х 200см.</w:t>
            </w:r>
            <w:r w:rsidR="00E21A68"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1 рулоне 100 </w:t>
            </w:r>
            <w:proofErr w:type="spellStart"/>
            <w:proofErr w:type="gramStart"/>
            <w:r w:rsidR="00E21A68"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242134" w:rsidRPr="00242134" w:rsidRDefault="00E21A68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850" w:type="dxa"/>
            <w:shd w:val="clear" w:color="auto" w:fill="auto"/>
            <w:noWrap/>
          </w:tcPr>
          <w:p w:rsidR="00242134" w:rsidRPr="00242134" w:rsidRDefault="00E21A68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</w:tcPr>
          <w:p w:rsidR="00242134" w:rsidRPr="00242134" w:rsidRDefault="00E21A68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6700</w:t>
            </w:r>
          </w:p>
        </w:tc>
        <w:tc>
          <w:tcPr>
            <w:tcW w:w="1275" w:type="dxa"/>
            <w:shd w:val="clear" w:color="auto" w:fill="auto"/>
            <w:noWrap/>
          </w:tcPr>
          <w:p w:rsidR="00242134" w:rsidRPr="00242134" w:rsidRDefault="00E21A68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33 500</w:t>
            </w:r>
          </w:p>
        </w:tc>
      </w:tr>
      <w:tr w:rsidR="00242134" w:rsidRPr="00242134" w:rsidTr="00DE623C">
        <w:trPr>
          <w:trHeight w:val="300"/>
        </w:trPr>
        <w:tc>
          <w:tcPr>
            <w:tcW w:w="582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694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Мешок дыхательный реанимационный </w:t>
            </w:r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Амбу</w:t>
            </w:r>
            <w:proofErr w:type="spellEnd"/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»</w:t>
            </w:r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для взрослых</w:t>
            </w:r>
          </w:p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Мешок дыхательный реанимационный (типа </w:t>
            </w:r>
            <w:proofErr w:type="spell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Амбу</w:t>
            </w:r>
            <w:proofErr w:type="spellEnd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предназначен для проведения искусственной вентиляции </w:t>
            </w:r>
            <w:proofErr w:type="spell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легких</w:t>
            </w:r>
            <w:proofErr w:type="spellEnd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ручным способом в условиях дыхательной недостаточности любой этиологии. </w:t>
            </w:r>
          </w:p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  многоразовые дыхательные мешки (</w:t>
            </w:r>
            <w:r w:rsidRPr="002421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типа «</w:t>
            </w:r>
            <w:proofErr w:type="spellStart"/>
            <w:r w:rsidRPr="002421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Амбу</w:t>
            </w:r>
            <w:proofErr w:type="spellEnd"/>
            <w:r w:rsidRPr="002421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из силикона с толщиной </w:t>
            </w: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стенок 3 мм и временем расправления меньше 1 сек., отличающиеся высокой прочностью, </w:t>
            </w:r>
            <w:proofErr w:type="spell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надежностью</w:t>
            </w:r>
            <w:proofErr w:type="spellEnd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эластичностью. Эргономичные одно-двух компонентные силиконовые маски, резервные мешки, высоконадёжные клапана с предохранителем от избыточного давления на вдохе и возможностью подключения кислорода. Допустима горячая стерилизация (</w:t>
            </w:r>
            <w:proofErr w:type="spell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  мешок упакован в удобный для переноски пластиковый бо</w:t>
            </w:r>
            <w:proofErr w:type="gram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 с пр</w:t>
            </w:r>
            <w:proofErr w:type="gramEnd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озрачной крышкой и ручкой для переноски, инструкцией по применению</w:t>
            </w:r>
          </w:p>
        </w:tc>
        <w:tc>
          <w:tcPr>
            <w:tcW w:w="851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</w:tcPr>
          <w:p w:rsidR="00242134" w:rsidRPr="00242134" w:rsidRDefault="00DA3623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E21A68"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850</w:t>
            </w:r>
          </w:p>
        </w:tc>
        <w:tc>
          <w:tcPr>
            <w:tcW w:w="1275" w:type="dxa"/>
            <w:shd w:val="clear" w:color="auto" w:fill="auto"/>
            <w:noWrap/>
          </w:tcPr>
          <w:p w:rsidR="00242134" w:rsidRPr="00242134" w:rsidRDefault="00E21A68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65 550</w:t>
            </w:r>
          </w:p>
        </w:tc>
      </w:tr>
      <w:tr w:rsidR="00242134" w:rsidRPr="00242134" w:rsidTr="00DE623C">
        <w:trPr>
          <w:trHeight w:val="300"/>
        </w:trPr>
        <w:tc>
          <w:tcPr>
            <w:tcW w:w="582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Вакцина </w:t>
            </w:r>
            <w:proofErr w:type="spell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Гриппол</w:t>
            </w:r>
            <w:proofErr w:type="spellEnd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Плюс</w:t>
            </w:r>
          </w:p>
        </w:tc>
        <w:tc>
          <w:tcPr>
            <w:tcW w:w="7512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Противогриппозная вакцина, индивидуальная шприц-доза, взрослая (0,5) мл</w:t>
            </w:r>
          </w:p>
        </w:tc>
        <w:tc>
          <w:tcPr>
            <w:tcW w:w="851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</w:t>
            </w:r>
          </w:p>
        </w:tc>
        <w:tc>
          <w:tcPr>
            <w:tcW w:w="850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275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1 115 000</w:t>
            </w:r>
          </w:p>
        </w:tc>
      </w:tr>
      <w:tr w:rsidR="00BD00F6" w:rsidRPr="00242134" w:rsidTr="00DE623C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BD00F6" w:rsidRPr="00242134" w:rsidRDefault="007E59DD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2694" w:type="dxa"/>
            <w:shd w:val="clear" w:color="auto" w:fill="auto"/>
            <w:noWrap/>
          </w:tcPr>
          <w:p w:rsidR="00BD00F6" w:rsidRPr="00242134" w:rsidRDefault="00BD00F6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Тонометр взрослый</w:t>
            </w:r>
          </w:p>
        </w:tc>
        <w:tc>
          <w:tcPr>
            <w:tcW w:w="7512" w:type="dxa"/>
            <w:shd w:val="clear" w:color="auto" w:fill="auto"/>
          </w:tcPr>
          <w:p w:rsidR="00BD00F6" w:rsidRPr="00242134" w:rsidRDefault="00190AA1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Тонометр взрослый с поверкой РК</w:t>
            </w:r>
          </w:p>
        </w:tc>
        <w:tc>
          <w:tcPr>
            <w:tcW w:w="851" w:type="dxa"/>
            <w:shd w:val="clear" w:color="auto" w:fill="auto"/>
            <w:noWrap/>
          </w:tcPr>
          <w:p w:rsidR="00BD00F6" w:rsidRPr="007E59DD" w:rsidRDefault="00BD00F6" w:rsidP="00BD00F6">
            <w:pPr>
              <w:jc w:val="center"/>
              <w:rPr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noWrap/>
          </w:tcPr>
          <w:p w:rsidR="00BD00F6" w:rsidRPr="00242134" w:rsidRDefault="00BD00F6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</w:tcPr>
          <w:p w:rsidR="00BD00F6" w:rsidRPr="00242134" w:rsidRDefault="00BD00F6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8 800</w:t>
            </w:r>
          </w:p>
        </w:tc>
        <w:tc>
          <w:tcPr>
            <w:tcW w:w="1275" w:type="dxa"/>
            <w:shd w:val="clear" w:color="auto" w:fill="auto"/>
            <w:noWrap/>
          </w:tcPr>
          <w:p w:rsidR="00BD00F6" w:rsidRPr="00242134" w:rsidRDefault="008E7D35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</w:t>
            </w:r>
            <w:r w:rsidR="00190AA1"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440 000</w:t>
            </w:r>
          </w:p>
        </w:tc>
      </w:tr>
      <w:tr w:rsidR="00BD00F6" w:rsidRPr="00242134" w:rsidTr="00DE623C">
        <w:trPr>
          <w:trHeight w:val="300"/>
        </w:trPr>
        <w:tc>
          <w:tcPr>
            <w:tcW w:w="582" w:type="dxa"/>
            <w:shd w:val="clear" w:color="auto" w:fill="auto"/>
            <w:noWrap/>
          </w:tcPr>
          <w:p w:rsidR="00BD00F6" w:rsidRPr="00242134" w:rsidRDefault="007E59DD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694" w:type="dxa"/>
            <w:shd w:val="clear" w:color="auto" w:fill="auto"/>
            <w:noWrap/>
          </w:tcPr>
          <w:p w:rsidR="00BD00F6" w:rsidRPr="00242134" w:rsidRDefault="00BD00F6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Тонометр детский</w:t>
            </w:r>
          </w:p>
        </w:tc>
        <w:tc>
          <w:tcPr>
            <w:tcW w:w="7512" w:type="dxa"/>
            <w:shd w:val="clear" w:color="auto" w:fill="auto"/>
            <w:noWrap/>
          </w:tcPr>
          <w:p w:rsidR="00BD00F6" w:rsidRPr="00242134" w:rsidRDefault="00190AA1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Тонометр детский с 3-мя манжетами без стетоскопа с поверкой РК</w:t>
            </w:r>
          </w:p>
        </w:tc>
        <w:tc>
          <w:tcPr>
            <w:tcW w:w="851" w:type="dxa"/>
            <w:shd w:val="clear" w:color="auto" w:fill="auto"/>
            <w:noWrap/>
          </w:tcPr>
          <w:p w:rsidR="00BD00F6" w:rsidRPr="007E59DD" w:rsidRDefault="00BD00F6" w:rsidP="00BD00F6">
            <w:pPr>
              <w:jc w:val="center"/>
              <w:rPr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noWrap/>
          </w:tcPr>
          <w:p w:rsidR="00BD00F6" w:rsidRPr="00242134" w:rsidRDefault="00BD00F6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</w:tcPr>
          <w:p w:rsidR="00BD00F6" w:rsidRPr="00242134" w:rsidRDefault="00BD00F6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12 550</w:t>
            </w:r>
          </w:p>
        </w:tc>
        <w:tc>
          <w:tcPr>
            <w:tcW w:w="1275" w:type="dxa"/>
            <w:shd w:val="clear" w:color="auto" w:fill="auto"/>
            <w:noWrap/>
          </w:tcPr>
          <w:p w:rsidR="00BD00F6" w:rsidRPr="00242134" w:rsidRDefault="00190AA1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62 750</w:t>
            </w:r>
          </w:p>
        </w:tc>
      </w:tr>
      <w:tr w:rsidR="00DE623C" w:rsidRPr="00242134" w:rsidTr="00DE623C">
        <w:trPr>
          <w:trHeight w:val="300"/>
        </w:trPr>
        <w:tc>
          <w:tcPr>
            <w:tcW w:w="582" w:type="dxa"/>
            <w:shd w:val="clear" w:color="auto" w:fill="auto"/>
            <w:noWrap/>
          </w:tcPr>
          <w:p w:rsidR="00DE623C" w:rsidRPr="00DE623C" w:rsidRDefault="00DE623C" w:rsidP="00DE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shd w:val="clear" w:color="auto" w:fill="auto"/>
            <w:noWrap/>
          </w:tcPr>
          <w:p w:rsidR="00DE623C" w:rsidRPr="00DE623C" w:rsidRDefault="00DE623C" w:rsidP="00B9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Наконечники для ЛОР комбайна MEDSTAR M-1010 (взрослый)</w:t>
            </w:r>
          </w:p>
        </w:tc>
        <w:tc>
          <w:tcPr>
            <w:tcW w:w="7512" w:type="dxa"/>
            <w:shd w:val="clear" w:color="auto" w:fill="auto"/>
            <w:noWrap/>
          </w:tcPr>
          <w:p w:rsidR="00DE623C" w:rsidRPr="00DE623C" w:rsidRDefault="00DE623C" w:rsidP="00B9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 xml:space="preserve">Пластиковые наконечники (тип </w:t>
            </w:r>
            <w:proofErr w:type="spellStart"/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твердый</w:t>
            </w:r>
            <w:proofErr w:type="spellEnd"/>
            <w:r w:rsidRPr="00DE623C">
              <w:rPr>
                <w:rFonts w:ascii="Times New Roman" w:hAnsi="Times New Roman" w:cs="Times New Roman"/>
                <w:sz w:val="20"/>
                <w:szCs w:val="20"/>
              </w:rPr>
              <w:t xml:space="preserve">, прозрачные, с силиконовым переходником 4 см +/- 10%) для взрослых, фасовка: 1 упаковка-100шт </w:t>
            </w:r>
          </w:p>
        </w:tc>
        <w:tc>
          <w:tcPr>
            <w:tcW w:w="851" w:type="dxa"/>
            <w:shd w:val="clear" w:color="auto" w:fill="auto"/>
            <w:noWrap/>
          </w:tcPr>
          <w:p w:rsidR="00DE623C" w:rsidRPr="00DE623C" w:rsidRDefault="00DE623C" w:rsidP="00DE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DE623C" w:rsidRPr="00DE623C" w:rsidRDefault="00DE623C" w:rsidP="00DE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</w:tcPr>
          <w:p w:rsidR="00DE623C" w:rsidRPr="00DE623C" w:rsidRDefault="00DE623C" w:rsidP="00DE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275" w:type="dxa"/>
            <w:shd w:val="clear" w:color="auto" w:fill="auto"/>
            <w:noWrap/>
          </w:tcPr>
          <w:p w:rsidR="00DE623C" w:rsidRPr="00DE623C" w:rsidRDefault="00DE623C" w:rsidP="00DE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DE623C" w:rsidRPr="00242134" w:rsidTr="00DE623C">
        <w:trPr>
          <w:trHeight w:val="300"/>
        </w:trPr>
        <w:tc>
          <w:tcPr>
            <w:tcW w:w="582" w:type="dxa"/>
            <w:shd w:val="clear" w:color="auto" w:fill="auto"/>
            <w:noWrap/>
          </w:tcPr>
          <w:p w:rsidR="00DE623C" w:rsidRPr="00DE623C" w:rsidRDefault="00DE623C" w:rsidP="00DE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shd w:val="clear" w:color="auto" w:fill="auto"/>
            <w:noWrap/>
          </w:tcPr>
          <w:p w:rsidR="00DE623C" w:rsidRPr="00DE623C" w:rsidRDefault="00DE623C" w:rsidP="00B9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Наконечники для ЛОР комбайна MEDSTAR M-1010 (</w:t>
            </w:r>
            <w:proofErr w:type="gramStart"/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gramEnd"/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12" w:type="dxa"/>
            <w:shd w:val="clear" w:color="auto" w:fill="auto"/>
            <w:noWrap/>
          </w:tcPr>
          <w:p w:rsidR="00DE623C" w:rsidRPr="00DE623C" w:rsidRDefault="00DE623C" w:rsidP="00B9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 xml:space="preserve">Пластиковые наконечники (тип </w:t>
            </w:r>
            <w:proofErr w:type="spellStart"/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твердый</w:t>
            </w:r>
            <w:proofErr w:type="spellEnd"/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, прозрачные, с силиконовым переходником 4 см +/- 10%) для детей, фасовка: 1 упаковка-100шт</w:t>
            </w:r>
          </w:p>
        </w:tc>
        <w:tc>
          <w:tcPr>
            <w:tcW w:w="851" w:type="dxa"/>
            <w:shd w:val="clear" w:color="auto" w:fill="auto"/>
            <w:noWrap/>
          </w:tcPr>
          <w:p w:rsidR="00DE623C" w:rsidRPr="00DE623C" w:rsidRDefault="00DE623C" w:rsidP="00DE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DE623C" w:rsidRPr="00DE623C" w:rsidRDefault="00DE623C" w:rsidP="00DE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</w:tcPr>
          <w:p w:rsidR="00DE623C" w:rsidRPr="00DE623C" w:rsidRDefault="00DE623C" w:rsidP="00DE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275" w:type="dxa"/>
            <w:shd w:val="clear" w:color="auto" w:fill="auto"/>
            <w:noWrap/>
          </w:tcPr>
          <w:p w:rsidR="00DE623C" w:rsidRPr="00DE623C" w:rsidRDefault="00DE623C" w:rsidP="00DE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DE623C" w:rsidRPr="00242134" w:rsidTr="00DE623C">
        <w:trPr>
          <w:trHeight w:val="300"/>
        </w:trPr>
        <w:tc>
          <w:tcPr>
            <w:tcW w:w="582" w:type="dxa"/>
            <w:shd w:val="clear" w:color="auto" w:fill="auto"/>
            <w:noWrap/>
          </w:tcPr>
          <w:p w:rsidR="00DE623C" w:rsidRPr="00DE623C" w:rsidRDefault="00DE623C" w:rsidP="00DE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  <w:shd w:val="clear" w:color="auto" w:fill="auto"/>
            <w:noWrap/>
          </w:tcPr>
          <w:p w:rsidR="00DE623C" w:rsidRPr="00DE623C" w:rsidRDefault="00DE623C" w:rsidP="00B9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Силиконовые наконечники для ЛОР комбайна MEDSTAR M-1010</w:t>
            </w:r>
          </w:p>
        </w:tc>
        <w:tc>
          <w:tcPr>
            <w:tcW w:w="7512" w:type="dxa"/>
            <w:shd w:val="clear" w:color="auto" w:fill="auto"/>
            <w:noWrap/>
          </w:tcPr>
          <w:p w:rsidR="00DE623C" w:rsidRPr="00DE623C" w:rsidRDefault="00DE623C" w:rsidP="00B9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Силиконовые наконечники (тип мягкий, белый), фасовка: 1 упаковка-100шт</w:t>
            </w:r>
          </w:p>
        </w:tc>
        <w:tc>
          <w:tcPr>
            <w:tcW w:w="851" w:type="dxa"/>
            <w:shd w:val="clear" w:color="auto" w:fill="auto"/>
            <w:noWrap/>
          </w:tcPr>
          <w:p w:rsidR="00DE623C" w:rsidRPr="00DE623C" w:rsidRDefault="00DE623C" w:rsidP="00DE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DE623C" w:rsidRPr="00DE623C" w:rsidRDefault="00DE623C" w:rsidP="00DE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</w:tcPr>
          <w:p w:rsidR="00DE623C" w:rsidRPr="00DE623C" w:rsidRDefault="00DE623C" w:rsidP="00DE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275" w:type="dxa"/>
            <w:shd w:val="clear" w:color="auto" w:fill="auto"/>
            <w:noWrap/>
          </w:tcPr>
          <w:p w:rsidR="00DE623C" w:rsidRPr="00DE623C" w:rsidRDefault="00DE623C" w:rsidP="00DE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242134" w:rsidRPr="00242134" w:rsidTr="00DE623C">
        <w:trPr>
          <w:trHeight w:val="300"/>
        </w:trPr>
        <w:tc>
          <w:tcPr>
            <w:tcW w:w="582" w:type="dxa"/>
            <w:shd w:val="clear" w:color="auto" w:fill="auto"/>
            <w:noWrap/>
          </w:tcPr>
          <w:p w:rsidR="00242134" w:rsidRPr="00242134" w:rsidRDefault="007E59DD" w:rsidP="00DE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DE6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</w:tcPr>
          <w:p w:rsidR="00242134" w:rsidRPr="00242134" w:rsidRDefault="00242134" w:rsidP="007E59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Облучатель ультрафиолетовый бактерицидный с регулируемым экраном </w:t>
            </w:r>
          </w:p>
        </w:tc>
        <w:tc>
          <w:tcPr>
            <w:tcW w:w="7512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Настенный экранированный облучатель с регулируемым щелевым зазором в виде крышки сверху, работающий постоянно в присутствии людей.</w:t>
            </w:r>
          </w:p>
          <w:p w:rsidR="00242134" w:rsidRPr="00242134" w:rsidRDefault="00242134" w:rsidP="0024213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Кол-во ламп: </w:t>
            </w:r>
            <w:r w:rsidRPr="00242134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2 штуки</w:t>
            </w: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мощностью </w:t>
            </w:r>
            <w:r w:rsidRPr="00242134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30 Вт</w:t>
            </w: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каждая, напряжение лампы 96</w:t>
            </w:r>
            <w:proofErr w:type="gramStart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ток лампы 0.37 А  </w:t>
            </w:r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Поток излучения (254 </w:t>
            </w:r>
            <w:proofErr w:type="spellStart"/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нм</w:t>
            </w:r>
            <w:proofErr w:type="spellEnd"/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 - 12 Вт</w:t>
            </w: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минимальная начальная </w:t>
            </w:r>
            <w:proofErr w:type="spellStart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облученность</w:t>
            </w:r>
            <w:proofErr w:type="spellEnd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УФС - диапазон – 1,2 Вт/м2, Образование озона отсутствует. </w:t>
            </w:r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Срок службы</w:t>
            </w: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9000 ч</w:t>
            </w: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кол-во включения/включений – 50000 циклов, общая длина -  894,6 мм, диаметр колбы d 25.5 ± 0.5 мм, цоколь G13.</w:t>
            </w:r>
          </w:p>
          <w:p w:rsidR="00242134" w:rsidRPr="00242134" w:rsidRDefault="00242134" w:rsidP="0024213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Ключевая особенность аппарата</w:t>
            </w:r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-</w:t>
            </w:r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наличие двух режимов работы:     </w:t>
            </w:r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Режим 1</w:t>
            </w: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«непрерывно  в присутствии людей» – работает внутренняя лампа, через щелевой зазор проходит ультрафиолетовое облучение (</w:t>
            </w:r>
            <w:proofErr w:type="spellStart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облученность</w:t>
            </w:r>
            <w:proofErr w:type="spellEnd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расстоянии 1м в секторе прямого луча должна составлять не менее 90-100 мкВт/см</w:t>
            </w:r>
            <w:proofErr w:type="gramStart"/>
            <w:r w:rsidRPr="0024213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). Нижние слои воздуха обеззараживаются за </w:t>
            </w:r>
            <w:proofErr w:type="spellStart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счет</w:t>
            </w:r>
            <w:proofErr w:type="spellEnd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естественной конвекции воздуха. Одновременно </w:t>
            </w:r>
            <w:proofErr w:type="spellStart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облученность</w:t>
            </w:r>
            <w:proofErr w:type="spellEnd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обитаемой зоне помещения, измеряемая на </w:t>
            </w:r>
            <w:proofErr w:type="spellStart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трех</w:t>
            </w:r>
            <w:proofErr w:type="spellEnd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уровнях: уровень глаз человека «сидящего», «стоящего», «лежащего» не должна превышать 0,1-0,2 мкВт/см</w:t>
            </w:r>
            <w:proofErr w:type="gramStart"/>
            <w:r w:rsidRPr="0024213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Режим 2</w:t>
            </w: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«быстрое обеззараживание в отсутствие людей», при этом </w:t>
            </w:r>
            <w:proofErr w:type="spellStart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облученность</w:t>
            </w:r>
            <w:proofErr w:type="spellEnd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 открытой лампы на расстоянии 1 м от источника должна быть в диапазоне </w:t>
            </w:r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120 -</w:t>
            </w: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150 мкВт/см</w:t>
            </w:r>
            <w:proofErr w:type="gramStart"/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 но не менее 120 мкВт/см</w:t>
            </w:r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2</w:t>
            </w: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242134" w:rsidRPr="00242134" w:rsidRDefault="00242134" w:rsidP="0024213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Требование:</w:t>
            </w:r>
          </w:p>
          <w:p w:rsidR="00242134" w:rsidRPr="00242134" w:rsidRDefault="00242134" w:rsidP="0024213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lastRenderedPageBreak/>
              <w:t>Обязательно все заявленные показатели должны подтверждаться техническим паспортом на изделие</w:t>
            </w: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 </w:t>
            </w:r>
          </w:p>
          <w:p w:rsidR="00242134" w:rsidRPr="00242134" w:rsidRDefault="00242134" w:rsidP="0024213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Модель облучателя должна быть согласована с Заказчиком до момента поставки</w:t>
            </w: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242134" w:rsidRPr="00242134" w:rsidRDefault="00242134" w:rsidP="0024213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Заказчик заранее предоставляет Поставщику план расположения облучателей для навешивания.</w:t>
            </w:r>
          </w:p>
          <w:p w:rsidR="00242134" w:rsidRPr="00242134" w:rsidRDefault="00242134" w:rsidP="0024213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</w:t>
            </w:r>
            <w:r w:rsidRPr="0024213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Квалификационные документы: </w:t>
            </w:r>
          </w:p>
          <w:p w:rsidR="00242134" w:rsidRPr="00242134" w:rsidRDefault="00242134" w:rsidP="002421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Регистрационное удостоверение МЗ РК на облучатель;</w:t>
            </w:r>
          </w:p>
          <w:p w:rsidR="00242134" w:rsidRPr="00242134" w:rsidRDefault="00242134" w:rsidP="002421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Сертификат средства измерения на товар (в случае, если товар поставщика не является средством измерения, необходимо приложить соответствующий документ из уполномоченного органа);</w:t>
            </w:r>
          </w:p>
          <w:p w:rsidR="00242134" w:rsidRPr="00242134" w:rsidRDefault="00242134" w:rsidP="002421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Сканированные копии паспортов на русском и казахском языках с подписями и печатями завода изготовителя;</w:t>
            </w:r>
          </w:p>
          <w:p w:rsidR="00242134" w:rsidRPr="00242134" w:rsidRDefault="00242134" w:rsidP="002421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Действующий сертификат о поверке на радиометр, либо паспорт с отметкой о поверке;</w:t>
            </w:r>
          </w:p>
          <w:p w:rsidR="00242134" w:rsidRPr="00242134" w:rsidRDefault="00242134" w:rsidP="002421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Сертификат о признании утверждения типа средств измерений на радиометр;</w:t>
            </w:r>
          </w:p>
          <w:p w:rsidR="00242134" w:rsidRPr="00242134" w:rsidRDefault="00242134" w:rsidP="002421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Наличие квалифицированного специалиста у поставщика, которое подтверждается сертификатом от производителя о том, что он </w:t>
            </w:r>
            <w:proofErr w:type="spellStart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прошел</w:t>
            </w:r>
            <w:proofErr w:type="spellEnd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обучение по установки, методике калибровки и сервисному обслуживанию оборудования.</w:t>
            </w:r>
          </w:p>
          <w:p w:rsidR="00242134" w:rsidRPr="00242134" w:rsidRDefault="00242134" w:rsidP="0024213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 облучателю обязательно должно  прилагаться:  </w:t>
            </w:r>
          </w:p>
          <w:p w:rsidR="00242134" w:rsidRPr="00242134" w:rsidRDefault="00242134" w:rsidP="0024213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Технический паспорт на казахском языке – 1 шт.</w:t>
            </w:r>
          </w:p>
          <w:p w:rsidR="00242134" w:rsidRPr="00242134" w:rsidRDefault="00242134" w:rsidP="0024213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Технический паспорт на русском языке – 1 шт., </w:t>
            </w:r>
          </w:p>
          <w:p w:rsidR="00242134" w:rsidRPr="00242134" w:rsidRDefault="00242134" w:rsidP="0024213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Журнал </w:t>
            </w:r>
            <w:proofErr w:type="spellStart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учета</w:t>
            </w:r>
            <w:proofErr w:type="spellEnd"/>
            <w:r w:rsidRPr="002421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УФБО – 1 шт.</w:t>
            </w:r>
          </w:p>
        </w:tc>
        <w:tc>
          <w:tcPr>
            <w:tcW w:w="851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850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90 000</w:t>
            </w:r>
          </w:p>
        </w:tc>
        <w:tc>
          <w:tcPr>
            <w:tcW w:w="1275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450 000</w:t>
            </w:r>
          </w:p>
        </w:tc>
      </w:tr>
    </w:tbl>
    <w:p w:rsidR="007E59DD" w:rsidRDefault="007E59DD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1) </w:t>
      </w:r>
      <w:r w:rsidR="00DD60DF">
        <w:rPr>
          <w:rFonts w:ascii="Times New Roman" w:eastAsia="Times New Roman" w:hAnsi="Times New Roman" w:cs="Times New Roman"/>
          <w:b/>
        </w:rPr>
        <w:t xml:space="preserve"> ценовое предложение по форме, утверждённой уполномоченным органом в области здрав</w:t>
      </w:r>
      <w:r>
        <w:rPr>
          <w:rFonts w:ascii="Times New Roman" w:eastAsia="Times New Roman" w:hAnsi="Times New Roman" w:cs="Times New Roman"/>
          <w:b/>
        </w:rPr>
        <w:t>оохранения;</w:t>
      </w:r>
      <w:r w:rsidR="00DD60DF">
        <w:rPr>
          <w:rFonts w:ascii="Times New Roman" w:eastAsia="Times New Roman" w:hAnsi="Times New Roman" w:cs="Times New Roman"/>
          <w:b/>
        </w:rPr>
        <w:t xml:space="preserve"> </w:t>
      </w:r>
    </w:p>
    <w:p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2) </w:t>
      </w:r>
      <w:r w:rsidR="00DD60DF">
        <w:rPr>
          <w:rFonts w:ascii="Times New Roman" w:eastAsia="Times New Roman" w:hAnsi="Times New Roman" w:cs="Times New Roman"/>
          <w:b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0102F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3) </w:t>
      </w:r>
      <w:r w:rsidR="00DD60DF">
        <w:rPr>
          <w:rFonts w:ascii="Times New Roman" w:eastAsia="Times New Roman" w:hAnsi="Times New Roman" w:cs="Times New Roman"/>
          <w:b/>
        </w:rPr>
        <w:t>документы, подтверждающие соответствие предлагаемых товаров требованиям, установленным главой 4 Правил.</w:t>
      </w:r>
    </w:p>
    <w:p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0102F4" w:rsidRPr="007E59DD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 79/61, приёмная (61 кабинет в цокольном этаже),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7E59DD" w:rsidRPr="007E59DD">
        <w:rPr>
          <w:rFonts w:ascii="Times New Roman" w:eastAsia="Times New Roman" w:hAnsi="Times New Roman" w:cs="Times New Roman"/>
          <w:b/>
        </w:rPr>
        <w:t>4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7E59DD" w:rsidRPr="007E59DD">
        <w:rPr>
          <w:rFonts w:ascii="Times New Roman" w:eastAsia="Times New Roman" w:hAnsi="Times New Roman" w:cs="Times New Roman"/>
          <w:b/>
        </w:rPr>
        <w:t>04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7E59DD" w:rsidRPr="007E59DD">
        <w:rPr>
          <w:rFonts w:ascii="Times New Roman" w:eastAsia="Times New Roman" w:hAnsi="Times New Roman" w:cs="Times New Roman"/>
          <w:b/>
        </w:rPr>
        <w:t>октября</w:t>
      </w:r>
      <w:r w:rsidRPr="007E59DD">
        <w:rPr>
          <w:rFonts w:ascii="Times New Roman" w:eastAsia="Times New Roman" w:hAnsi="Times New Roman" w:cs="Times New Roman"/>
          <w:b/>
        </w:rPr>
        <w:t xml:space="preserve"> 2019 года. </w:t>
      </w:r>
    </w:p>
    <w:p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7E59DD">
        <w:rPr>
          <w:rFonts w:ascii="Times New Roman" w:eastAsia="Times New Roman" w:hAnsi="Times New Roman" w:cs="Times New Roman"/>
          <w:b/>
        </w:rPr>
        <w:t xml:space="preserve"> вскрытия конвертов: 04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7E59DD">
        <w:rPr>
          <w:rFonts w:ascii="Times New Roman" w:eastAsia="Times New Roman" w:hAnsi="Times New Roman" w:cs="Times New Roman"/>
          <w:b/>
        </w:rPr>
        <w:t>октября</w:t>
      </w:r>
      <w:r>
        <w:rPr>
          <w:rFonts w:ascii="Times New Roman" w:eastAsia="Times New Roman" w:hAnsi="Times New Roman" w:cs="Times New Roman"/>
          <w:b/>
        </w:rPr>
        <w:t xml:space="preserve"> 2019 года в 1</w:t>
      </w:r>
      <w:r w:rsidR="002B0524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.00 часов</w:t>
      </w:r>
    </w:p>
    <w:p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113 глава 10. Постановления Правительства Республики Казахстан от 30 октября 2009 года №1729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 w:rsidR="00242134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6" w:anchor="z1">
        <w:r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трех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месяцев перед банком, согласно типовому плану счетов бухгалтерского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учета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банках второго уровня, ипотечных организациях и акционерном обществе "Банк Развития Казахстана",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утвержденному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постановлением Правления Национального Банка Республики Казахстан, по форме,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утвержденной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уполномоченным органом в области здравоохранения (если потенциальный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7" w:anchor="z140">
        <w:r>
          <w:rPr>
            <w:rFonts w:ascii="Times New Roman" w:eastAsia="Times New Roman" w:hAnsi="Times New Roman" w:cs="Times New Roman"/>
            <w:color w:val="0000FF"/>
            <w:u w:val="single"/>
          </w:rPr>
          <w:t>пунктом 13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настоящих Правил; 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ДЛЯ СВЕДЕНИЯ!</w:t>
      </w:r>
    </w:p>
    <w:p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ценовое предложение. </w:t>
      </w:r>
    </w:p>
    <w:p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0102F4" w:rsidRDefault="00DD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102F4" w:rsidRDefault="00DD60DF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b/>
        </w:rPr>
        <w:t xml:space="preserve">Главный врач ГКП «Городская поликлиника №5» на ПХВ:  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sectPr w:rsidR="000102F4" w:rsidSect="007E59DD">
      <w:pgSz w:w="16838" w:h="11906" w:orient="landscape"/>
      <w:pgMar w:top="709" w:right="1245" w:bottom="992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102F4"/>
    <w:rsid w:val="000102F4"/>
    <w:rsid w:val="00190AA1"/>
    <w:rsid w:val="00242134"/>
    <w:rsid w:val="002B0524"/>
    <w:rsid w:val="007E59DD"/>
    <w:rsid w:val="008E7D35"/>
    <w:rsid w:val="00BD00F6"/>
    <w:rsid w:val="00DA3623"/>
    <w:rsid w:val="00DD60DF"/>
    <w:rsid w:val="00DE623C"/>
    <w:rsid w:val="00E2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400000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2019-09-27T07:45:00Z</cp:lastPrinted>
  <dcterms:created xsi:type="dcterms:W3CDTF">2019-02-12T06:00:00Z</dcterms:created>
  <dcterms:modified xsi:type="dcterms:W3CDTF">2019-09-27T07:46:00Z</dcterms:modified>
</cp:coreProperties>
</file>